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08</w:t>
      </w:r>
      <w:bookmarkStart w:id="0" w:name="_GoBack"/>
      <w:bookmarkEnd w:id="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1" w:name="_Toc4817"/>
      <w:r>
        <w:rPr>
          <w:rFonts w:hint="eastAsia"/>
          <w:lang w:val="en-US" w:eastAsia="zh-CN"/>
        </w:rPr>
        <w:t>陕西益利德软件科技有限公司</w:t>
      </w:r>
      <w:bookmarkEnd w:id="1"/>
    </w:p>
    <w:p>
      <w:pPr>
        <w:pStyle w:val="a0"/>
        <w:bidi w:val="0"/>
        <w:rPr>
          <w:rFonts w:hint="default"/>
          <w:lang w:val="en-US"/>
        </w:rPr>
      </w:pPr>
      <w:bookmarkStart w:id="2" w:name="_Toc8858"/>
      <w:r>
        <w:rPr>
          <w:rFonts w:hint="eastAsia"/>
          <w:lang w:val="en-US" w:eastAsia="zh-CN"/>
        </w:rPr>
        <w:t>配置管理制度</w:t>
      </w:r>
      <w:bookmarkEnd w:id="2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15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_Toc4817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_Toc8858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_Toc17354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_Toc5981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_Toc24537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配置管理流程</w:t>
          </w:r>
          <w:r>
            <w:tab/>
          </w:r>
          <w:r>
            <w:fldChar w:fldCharType="begin"/>
          </w:r>
          <w:r>
            <w:instrText xml:space="preserve"> PAGEREF _Toc17130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_Toc31067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5.1.1. 配置计划</w:t>
          </w:r>
          <w:r>
            <w:tab/>
          </w:r>
          <w:r>
            <w:fldChar w:fldCharType="begin"/>
          </w:r>
          <w:r>
            <w:instrText xml:space="preserve"> PAGEREF _Toc14217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5.1.2. 配置定义与标识</w:t>
          </w:r>
          <w:r>
            <w:tab/>
          </w:r>
          <w:r>
            <w:fldChar w:fldCharType="begin"/>
          </w:r>
          <w:r>
            <w:instrText xml:space="preserve"> PAGEREF _Toc5935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5.1.3. 建立配置管理数据库</w:t>
          </w:r>
          <w:r>
            <w:tab/>
          </w:r>
          <w:r>
            <w:fldChar w:fldCharType="begin"/>
          </w:r>
          <w:r>
            <w:instrText xml:space="preserve"> PAGEREF _Toc11676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5.1.4. CMDB 的控制与维护</w:t>
          </w:r>
          <w:r>
            <w:tab/>
          </w:r>
          <w:r>
            <w:fldChar w:fldCharType="begin"/>
          </w:r>
          <w:r>
            <w:instrText xml:space="preserve"> PAGEREF _Toc32361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5.1.5. 配置审计与验证</w:t>
          </w:r>
          <w:r>
            <w:tab/>
          </w:r>
          <w:r>
            <w:fldChar w:fldCharType="begin"/>
          </w:r>
          <w:r>
            <w:instrText xml:space="preserve"> PAGEREF _Toc29499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5.1.6. 生成配置报告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_Toc20230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_Toc26310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_Toc8838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_Toc22640"/>
      <w:r>
        <w:t>目的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提供一个统一的、一致的流程来管理售后服务环境中的所有组成部分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10253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准确性与真实性：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所有配置项（CI）的信息必须准确、完整，并与其实际物理和逻辑状态始终保持一致。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受控的变更：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对所有配置项的任何变更都必须通过规范的流程进行审批、记录和跟踪，以确保环境的稳定性与可追溯性。</w:t>
      </w:r>
    </w:p>
    <w:p>
      <w:pPr>
        <w:pStyle w:val="1"/>
        <w:bidi w:val="0"/>
      </w:pPr>
      <w:bookmarkStart w:id="5" w:name="_Toc17354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配置管理范围是指公司服务客户的生产环境中所有运维管理对象，包括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：</w:t>
      </w:r>
    </w:p>
    <w:p>
      <w:pPr>
        <w:numPr>
          <w:ilvl w:val="0"/>
          <w:numId w:val="3"/>
        </w:numPr>
        <w:spacing w:before="13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基础环境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专用硬件设备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软件</w:t>
      </w:r>
    </w:p>
    <w:p>
      <w:pPr>
        <w:numPr>
          <w:ilvl w:val="0"/>
          <w:numId w:val="3"/>
        </w:numPr>
        <w:spacing w:before="79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组织人员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文档</w:t>
      </w:r>
    </w:p>
    <w:p>
      <w:pPr>
        <w:numPr>
          <w:ilvl w:val="0"/>
          <w:numId w:val="3"/>
        </w:numPr>
        <w:spacing w:before="79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合同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30473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5981"/>
      <w:r>
        <w:rPr>
          <w:rFonts w:hint="eastAsia"/>
          <w:lang w:val="en-US" w:eastAsia="zh-CN"/>
        </w:rPr>
        <w:t>运维项目经理</w:t>
      </w:r>
      <w:bookmarkEnd w:id="7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负责配置管理流程中所有具体活动的协调和监控；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发起和协调配置项的规划、识别、监控、控制、维护、审计、审批等工作；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4537"/>
      <w:r>
        <w:rPr>
          <w:rFonts w:hint="eastAsia"/>
          <w:lang w:val="en-US" w:eastAsia="zh-CN"/>
        </w:rPr>
        <w:t>运维实施工程师</w:t>
      </w:r>
      <w:bookmarkEnd w:id="8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t>负责维护配置数据的完整性，并保障提供给运行管理相关各个流程的信息准确性；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</w:t>
      </w:r>
      <w:r>
        <w:t>配置信息维护表的发布；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负责对配置管理库的配置项做审计，制定审计计划及审计报告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17130"/>
      <w:r>
        <w:rPr>
          <w:rFonts w:hint="eastAsia"/>
          <w:lang w:val="en-US" w:eastAsia="zh-CN"/>
        </w:rPr>
        <w:t>配置管理流程</w:t>
      </w:r>
      <w:bookmarkEnd w:id="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配置管理流程如图5-1所示</w:t>
      </w:r>
    </w:p>
    <w:p>
      <w:pPr>
        <w:pStyle w:val="a1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配置管理流程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18.75pt;width:399.45pt" o:oleicon="f" o:ole="" coordsize="21600,21600" o:preferrelative="t" filled="f" stroked="f">
            <v:stroke joinstyle="miter"/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31067"/>
      <w:r>
        <w:rPr>
          <w:rFonts w:hint="eastAsia"/>
          <w:lang w:val="en-US" w:eastAsia="zh-CN"/>
        </w:rPr>
        <w:t>流程说明</w:t>
      </w:r>
      <w:bookmarkEnd w:id="10"/>
    </w:p>
    <w:p>
      <w:pPr>
        <w:pStyle w:val="3"/>
        <w:bidi w:val="0"/>
        <w:rPr>
          <w:rFonts w:hint="default"/>
        </w:rPr>
      </w:pPr>
      <w:bookmarkStart w:id="11" w:name="_Toc14217"/>
      <w:r>
        <w:rPr>
          <w:rFonts w:hint="default"/>
        </w:rPr>
        <w:t>配置计划</w:t>
      </w:r>
      <w:bookmarkEnd w:id="11"/>
    </w:p>
    <w:p>
      <w:pPr>
        <w:pStyle w:val="a1"/>
        <w:bidi w:val="0"/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依据服务合同及《服务需求说明书》编制《配置管理计划》</w:t>
      </w:r>
    </w:p>
    <w:p>
      <w:pPr>
        <w:pStyle w:val="3"/>
        <w:bidi w:val="0"/>
        <w:rPr>
          <w:rFonts w:hint="default"/>
        </w:rPr>
      </w:pPr>
      <w:bookmarkStart w:id="12" w:name="_Toc5935"/>
      <w:r>
        <w:rPr>
          <w:rFonts w:hint="default"/>
        </w:rPr>
        <w:t>配置定义与标识</w:t>
      </w:r>
      <w:bookmarkEnd w:id="12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强化配置项（CI）变更的授权控制，在整个CI生命周期内跟踪其状态历史（如过去、当前及计划状态），确保仅被认可和标识的配置项方可被记录与管理。配置项的具体定义与标识方式须在《配置管理计划》中予以明确。</w:t>
      </w:r>
    </w:p>
    <w:p>
      <w:pPr>
        <w:pStyle w:val="3"/>
        <w:bidi w:val="0"/>
        <w:rPr>
          <w:rFonts w:hint="default"/>
        </w:rPr>
      </w:pPr>
      <w:bookmarkStart w:id="13" w:name="_Toc11676"/>
      <w:r>
        <w:rPr>
          <w:rFonts w:hint="default"/>
        </w:rPr>
        <w:t>建立配置管理数据库</w:t>
      </w:r>
      <w:bookmarkEnd w:id="13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依据《配置管理计划》填写《配置清单》，构建涵盖各类配置信息的配置管理数据库（CMDB）。</w:t>
      </w:r>
    </w:p>
    <w:p>
      <w:pPr>
        <w:pStyle w:val="3"/>
        <w:bidi w:val="0"/>
        <w:rPr>
          <w:rFonts w:hint="default"/>
        </w:rPr>
      </w:pPr>
      <w:bookmarkStart w:id="14" w:name="_Toc32361"/>
      <w:r>
        <w:rPr>
          <w:rFonts w:hint="default"/>
        </w:rPr>
        <w:t>CMDB 的控制与维护</w:t>
      </w:r>
      <w:bookmarkEnd w:id="14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负</w:t>
      </w:r>
      <w:r>
        <w:rPr>
          <w:rFonts w:hint="default"/>
        </w:rPr>
        <w:t>责配置项信息的添加与维护。发生配置项变更时，由变更管理流程提出变更信息，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责执行实际更新与修改操作。</w:t>
      </w:r>
    </w:p>
    <w:p>
      <w:pPr>
        <w:pStyle w:val="3"/>
        <w:bidi w:val="0"/>
        <w:rPr>
          <w:rFonts w:hint="default"/>
        </w:rPr>
      </w:pPr>
      <w:bookmarkStart w:id="15" w:name="_Toc29499"/>
      <w:r>
        <w:rPr>
          <w:rFonts w:hint="default"/>
        </w:rPr>
        <w:t>配置审计与验证</w:t>
      </w:r>
      <w:bookmarkEnd w:id="1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定期对CMDB中配置数据的准确性进行审计与验证，确保数据库内容与物理实际一致，以维护配置信息的完整性。审计过程中需核对并更新配置信息，并编制《配置审计报告》。无论审计是否存在误差，均须如实记录该报告。</w:t>
      </w:r>
      <w:r>
        <w:rPr>
          <w:rFonts w:hint="default"/>
        </w:rPr>
        <w:br/>
      </w:r>
      <w:r>
        <w:rPr>
          <w:rFonts w:hint="default"/>
        </w:rPr>
        <w:t>常规配置审计每年执行一次，出现以下情况时须追加审计：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rPr>
          <w:rFonts w:hint="default"/>
        </w:rPr>
        <w:t>发生重大变更后；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rPr>
          <w:rFonts w:hint="default"/>
        </w:rPr>
        <w:t>新系统上线或版本升级时。</w:t>
      </w:r>
    </w:p>
    <w:p>
      <w:pPr>
        <w:pStyle w:val="3"/>
        <w:bidi w:val="0"/>
        <w:rPr>
          <w:rFonts w:hint="default"/>
        </w:rPr>
      </w:pPr>
      <w:bookmarkStart w:id="16" w:name="_Toc13512"/>
      <w:r>
        <w:rPr>
          <w:rFonts w:hint="default"/>
        </w:rPr>
        <w:t>生成配置报告</w:t>
      </w:r>
      <w:bookmarkEnd w:id="16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每月应整理CMDB信息，编写《配置报告》，内容须包括：配置项最新版本、存放位置、软件主版本位置、依赖关系及版本历史记录。</w:t>
      </w:r>
      <w:r>
        <w:rPr>
          <w:rFonts w:hint="default"/>
        </w:rPr>
        <w:br/>
      </w:r>
      <w:r>
        <w:rPr>
          <w:rFonts w:hint="default"/>
        </w:rPr>
        <w:t>每季度须对CMDB信息进行汇总并编写季度报告。</w:t>
      </w:r>
      <w:r>
        <w:rPr>
          <w:rFonts w:hint="default"/>
        </w:rPr>
        <w:br/>
      </w:r>
      <w:r>
        <w:rPr>
          <w:rFonts w:hint="default"/>
        </w:rPr>
        <w:t>配置项如下内容可随时进行核对：服务配置项或系统、变更记录、基准线、开发或发布信息、版本及变量状态。</w:t>
      </w:r>
    </w:p>
    <w:p>
      <w:pPr>
        <w:pStyle w:val="2"/>
        <w:bidi w:val="0"/>
      </w:pPr>
      <w:bookmarkStart w:id="17" w:name="_Toc6088"/>
      <w:bookmarkStart w:id="18" w:name="_Toc20230"/>
      <w:r>
        <w:t>考核指标</w:t>
      </w:r>
      <w:bookmarkEnd w:id="17"/>
      <w:bookmarkEnd w:id="18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4404"/>
        <w:gridCol w:w="1070"/>
        <w:gridCol w:w="125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配置项更新时间达标率</w:t>
            </w:r>
          </w:p>
        </w:tc>
        <w:tc>
          <w:tcPr>
            <w:tcW w:w="2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抽查配置管理数据库准确率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19" w:name="bookmark3"/>
      <w:bookmarkEnd w:id="19"/>
      <w:bookmarkStart w:id="20" w:name="_Toc17424"/>
      <w:bookmarkStart w:id="21" w:name="_Toc26310"/>
      <w:r>
        <w:rPr>
          <w:rStyle w:val="1Char"/>
          <w:rFonts w:eastAsia="宋体" w:hint="eastAsia"/>
          <w:lang w:val="en-US" w:eastAsia="zh-CN"/>
        </w:rPr>
        <w:t>附则</w:t>
      </w:r>
      <w:bookmarkEnd w:id="20"/>
      <w:bookmarkEnd w:id="21"/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8838"/>
      <w:r>
        <w:rPr>
          <w:rFonts w:hint="eastAsia"/>
          <w:lang w:val="en-US" w:eastAsia="zh-CN"/>
        </w:rPr>
        <w:t>附件</w:t>
      </w:r>
      <w:bookmarkEnd w:id="23"/>
    </w:p>
    <w:p>
      <w:pPr>
        <w:pStyle w:val="a3"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4" w:name="_Toc761"/>
      <w:r>
        <w:rPr>
          <w:rFonts w:hint="eastAsia"/>
          <w:lang w:val="en-US" w:eastAsia="zh-CN"/>
        </w:rPr>
        <w:t>记录</w:t>
      </w:r>
      <w:bookmarkEnd w:id="24"/>
    </w:p>
    <w:p>
      <w:pPr>
        <w:pStyle w:val="a3"/>
        <w:bidi w:val="0"/>
      </w:pPr>
      <w:r>
        <w:rPr>
          <w:rFonts w:hint="eastAsia"/>
          <w:lang w:eastAsia="zh-CN"/>
        </w:rPr>
        <w:t>《</w:t>
      </w:r>
      <w:r>
        <w:t>配置管理计划》</w:t>
      </w:r>
    </w:p>
    <w:p>
      <w:pPr>
        <w:pStyle w:val="a3"/>
        <w:bidi w:val="0"/>
      </w:pPr>
      <w:r>
        <w:t>《配置清单》</w:t>
      </w:r>
    </w:p>
    <w:p>
      <w:pPr>
        <w:pStyle w:val="a3"/>
        <w:bidi w:val="0"/>
      </w:pPr>
      <w:r>
        <w:t>《配置报告》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《配置审计报告》</w:t>
      </w:r>
    </w:p>
    <w:sectPr>
      <w:headerReference w:type="default" r:id="rId6"/>
      <w:foot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A0C0849"/>
    <w:multiLevelType w:val="singleLevel"/>
    <w:tmpl w:val="FA0C084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D8BF18A"/>
    <w:multiLevelType w:val="singleLevel"/>
    <w:tmpl w:val="0D8BF18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AE015AF"/>
    <w:multiLevelType w:val="singleLevel"/>
    <w:tmpl w:val="2AE015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FF51296"/>
    <w:multiLevelType w:val="singleLevel"/>
    <w:tmpl w:val="3FF512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97F62D6"/>
    <w:multiLevelType w:val="singleLevel"/>
    <w:tmpl w:val="597F62D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1363</Words>
  <Characters>1507</Characters>
  <Application>Microsoft Office Word</Application>
  <DocSecurity>0</DocSecurity>
  <Lines>0</Lines>
  <Paragraphs>0</Paragraphs>
  <ScaleCrop>false</ScaleCrop>
  <Company/>
  <LinksUpToDate>false</LinksUpToDate>
  <CharactersWithSpaces>1589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2025-12-01T16:04:15Z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