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AEDF" w14:textId="77777777" w:rsidR="00AA6856" w:rsidRDefault="00000000">
      <w:pPr>
        <w:spacing w:before="78" w:line="219" w:lineRule="auto"/>
        <w:ind w:left="25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eastAsia="zh-CN"/>
        </w:rPr>
        <w:t>2-03</w:t>
      </w:r>
    </w:p>
    <w:p w14:paraId="1944795B" w14:textId="77777777" w:rsidR="00AA6856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eastAsia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72F05173" w14:textId="77777777" w:rsidR="00AA6856" w:rsidRDefault="00000000">
      <w:pPr>
        <w:pStyle w:val="ab"/>
        <w:spacing w:after="1872"/>
        <w:rPr>
          <w:lang w:eastAsia="zh-CN"/>
        </w:rPr>
      </w:pPr>
      <w:bookmarkStart w:id="0" w:name="_Toc19231"/>
      <w:bookmarkStart w:id="1" w:name="_Toc15392"/>
      <w:r>
        <w:rPr>
          <w:lang w:eastAsia="zh-CN"/>
        </w:rPr>
        <w:t>陕西益利德软件科技有限公司</w:t>
      </w:r>
      <w:bookmarkEnd w:id="0"/>
      <w:bookmarkEnd w:id="1"/>
    </w:p>
    <w:p w14:paraId="0871AE3A" w14:textId="77777777" w:rsidR="00AA6856" w:rsidRDefault="00000000">
      <w:pPr>
        <w:pStyle w:val="ac"/>
        <w:spacing w:after="2808"/>
        <w:rPr>
          <w:rFonts w:hint="eastAsia"/>
        </w:rPr>
      </w:pPr>
      <w:bookmarkStart w:id="2" w:name="_Toc22916"/>
      <w:r>
        <w:rPr>
          <w:rFonts w:hint="eastAsia"/>
          <w:lang w:eastAsia="zh-CN"/>
        </w:rPr>
        <w:t>过程量化指标</w:t>
      </w:r>
      <w:bookmarkEnd w:id="2"/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53"/>
        <w:gridCol w:w="4110"/>
      </w:tblGrid>
      <w:tr w:rsidR="00AA6856" w14:paraId="2C6EF897" w14:textId="77777777">
        <w:trPr>
          <w:trHeight w:val="810"/>
        </w:trPr>
        <w:tc>
          <w:tcPr>
            <w:tcW w:w="1818" w:type="dxa"/>
          </w:tcPr>
          <w:p w14:paraId="0C35ADE2" w14:textId="77777777" w:rsidR="00AA6856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孙光莉</w:t>
            </w:r>
          </w:p>
        </w:tc>
        <w:tc>
          <w:tcPr>
            <w:tcW w:w="4261" w:type="dxa"/>
          </w:tcPr>
          <w:p w14:paraId="025C5D2B" w14:textId="785CEB10" w:rsidR="00AA6856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 w:rsidR="009E07D1">
              <w:rPr>
                <w:rFonts w:eastAsiaTheme="minorEastAsia" w:hint="eastAsia"/>
                <w:u w:val="single"/>
                <w:lang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 w:rsidR="009E07D1">
              <w:rPr>
                <w:rFonts w:eastAsiaTheme="minorEastAsia" w:hint="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:rsidR="00AA6856" w14:paraId="1A24BEC6" w14:textId="77777777">
        <w:trPr>
          <w:trHeight w:val="810"/>
        </w:trPr>
        <w:tc>
          <w:tcPr>
            <w:tcW w:w="1818" w:type="dxa"/>
          </w:tcPr>
          <w:p w14:paraId="384374A7" w14:textId="77777777" w:rsidR="00AA6856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90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0EDEF334" w14:textId="4BE958EE" w:rsidR="00AA6856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 w:rsidR="009E07D1">
              <w:rPr>
                <w:rFonts w:eastAsiaTheme="minorEastAsia" w:hint="eastAsia"/>
                <w:u w:val="single"/>
                <w:lang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 w:rsidR="009E07D1">
              <w:rPr>
                <w:rFonts w:eastAsiaTheme="minorEastAsia" w:hint="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:rsidR="00AA6856" w14:paraId="0554F499" w14:textId="77777777">
        <w:trPr>
          <w:trHeight w:val="635"/>
        </w:trPr>
        <w:tc>
          <w:tcPr>
            <w:tcW w:w="1818" w:type="dxa"/>
          </w:tcPr>
          <w:p w14:paraId="0EB78434" w14:textId="77777777" w:rsidR="00AA6856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3157834D" w14:textId="5D7122E4" w:rsidR="00AA6856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 w:rsidR="009E07D1">
              <w:rPr>
                <w:rFonts w:eastAsiaTheme="minorEastAsia" w:hint="eastAsia"/>
                <w:u w:val="single"/>
                <w:lang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 w:rsidR="009E07D1">
              <w:rPr>
                <w:rFonts w:eastAsiaTheme="minorEastAsia" w:hint="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</w:tbl>
    <w:p w14:paraId="273839F8" w14:textId="77777777" w:rsidR="00AA6856" w:rsidRDefault="00000000">
      <w:r>
        <w:br w:type="page"/>
      </w:r>
    </w:p>
    <w:p w14:paraId="3314B543" w14:textId="77777777" w:rsidR="00AA6856" w:rsidRDefault="00000000">
      <w:pPr>
        <w:spacing w:before="153" w:line="225" w:lineRule="auto"/>
        <w:ind w:left="3634"/>
        <w:rPr>
          <w:rFonts w:ascii="宋体" w:eastAsia="宋体" w:hAnsi="宋体" w:cs="宋体" w:hint="eastAsia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AA6856" w14:paraId="503500C7" w14:textId="77777777">
        <w:trPr>
          <w:trHeight w:val="593"/>
        </w:trPr>
        <w:tc>
          <w:tcPr>
            <w:tcW w:w="1555" w:type="dxa"/>
          </w:tcPr>
          <w:p w14:paraId="3C7AA0D5" w14:textId="77777777" w:rsidR="00AA6856" w:rsidRDefault="00000000">
            <w:pPr>
              <w:spacing w:before="176" w:line="228" w:lineRule="auto"/>
              <w:ind w:left="607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778EEE2" w14:textId="77777777" w:rsidR="00AA6856" w:rsidRDefault="00000000">
            <w:pPr>
              <w:spacing w:before="175" w:line="227" w:lineRule="auto"/>
              <w:ind w:left="253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5713656" w14:textId="77777777" w:rsidR="00AA6856" w:rsidRDefault="00000000">
            <w:pPr>
              <w:spacing w:before="175" w:line="228" w:lineRule="auto"/>
              <w:ind w:left="73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33E39BC" w14:textId="77777777" w:rsidR="00AA6856" w:rsidRDefault="00000000"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539DFD9" w14:textId="77777777" w:rsidR="00AA6856" w:rsidRDefault="00000000"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784D8004" w14:textId="77777777" w:rsidR="00AA6856" w:rsidRDefault="00000000">
            <w:pPr>
              <w:spacing w:before="176" w:line="229" w:lineRule="auto"/>
              <w:ind w:left="311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AA6856" w14:paraId="3342EE13" w14:textId="77777777">
        <w:trPr>
          <w:trHeight w:val="556"/>
        </w:trPr>
        <w:tc>
          <w:tcPr>
            <w:tcW w:w="1555" w:type="dxa"/>
          </w:tcPr>
          <w:p w14:paraId="1C6BBEB7" w14:textId="111F7D2F" w:rsidR="00AA6856" w:rsidRDefault="00000000">
            <w:pPr>
              <w:spacing w:before="173" w:line="267" w:lineRule="exact"/>
              <w:ind w:left="26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 w:rsidR="009E07D1">
              <w:rPr>
                <w:rFonts w:ascii="宋体" w:eastAsia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5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.0</w:t>
            </w:r>
            <w:r w:rsidR="009E07D1">
              <w:rPr>
                <w:rFonts w:ascii="宋体" w:eastAsia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7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.08</w:t>
            </w:r>
          </w:p>
        </w:tc>
        <w:tc>
          <w:tcPr>
            <w:tcW w:w="919" w:type="dxa"/>
          </w:tcPr>
          <w:p w14:paraId="6C8045F3" w14:textId="77777777" w:rsidR="00AA6856" w:rsidRDefault="00000000">
            <w:pPr>
              <w:spacing w:before="173" w:line="267" w:lineRule="exact"/>
              <w:ind w:left="248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0086275" w14:textId="77777777" w:rsidR="00AA6856" w:rsidRDefault="00000000"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CB5DAA0" w14:textId="119841F3" w:rsidR="00AA6856" w:rsidRDefault="00713315"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 w:rsidRPr="00713315"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孙光莉</w:t>
            </w:r>
          </w:p>
        </w:tc>
        <w:tc>
          <w:tcPr>
            <w:tcW w:w="1150" w:type="dxa"/>
          </w:tcPr>
          <w:p w14:paraId="579107D6" w14:textId="46B599D5" w:rsidR="00AA6856" w:rsidRDefault="00713315"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 w:rsidRPr="00713315">
              <w:rPr>
                <w:rFonts w:ascii="宋体" w:eastAsia="宋体" w:hAnsi="宋体" w:cs="宋体" w:hint="eastAsia"/>
                <w:spacing w:val="5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71E6832B" w14:textId="65AB9387" w:rsidR="00AA6856" w:rsidRDefault="00713315">
            <w:pPr>
              <w:spacing w:before="173" w:line="229" w:lineRule="auto"/>
              <w:ind w:left="314"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713315">
              <w:rPr>
                <w:rFonts w:ascii="宋体" w:eastAsia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:rsidR="00AA6856" w14:paraId="3F42AEAE" w14:textId="77777777">
        <w:trPr>
          <w:trHeight w:val="556"/>
        </w:trPr>
        <w:tc>
          <w:tcPr>
            <w:tcW w:w="1555" w:type="dxa"/>
          </w:tcPr>
          <w:p w14:paraId="29B426A5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7F3B5650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226B3B1E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06C7B1B6" w14:textId="77777777" w:rsidR="00AA6856" w:rsidRDefault="00AA6856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5F9555B" w14:textId="77777777" w:rsidR="00AA6856" w:rsidRDefault="00AA6856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94C4D6A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</w:tr>
      <w:tr w:rsidR="00AA6856" w14:paraId="78BE767E" w14:textId="77777777">
        <w:trPr>
          <w:trHeight w:val="556"/>
        </w:trPr>
        <w:tc>
          <w:tcPr>
            <w:tcW w:w="1555" w:type="dxa"/>
          </w:tcPr>
          <w:p w14:paraId="7C341483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7503D47B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2EFB6C4B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7E764B97" w14:textId="77777777" w:rsidR="00AA6856" w:rsidRDefault="00AA6856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B3ED199" w14:textId="77777777" w:rsidR="00AA6856" w:rsidRDefault="00AA6856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3FBAA3B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</w:tr>
      <w:tr w:rsidR="00AA6856" w14:paraId="44304A7D" w14:textId="77777777">
        <w:trPr>
          <w:trHeight w:val="557"/>
        </w:trPr>
        <w:tc>
          <w:tcPr>
            <w:tcW w:w="1555" w:type="dxa"/>
          </w:tcPr>
          <w:p w14:paraId="3DD4B08A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23858636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547A848E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7B3C2B9A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4E61A1FD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1290483F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</w:tr>
      <w:tr w:rsidR="00AA6856" w14:paraId="186F40F6" w14:textId="77777777">
        <w:trPr>
          <w:trHeight w:val="556"/>
        </w:trPr>
        <w:tc>
          <w:tcPr>
            <w:tcW w:w="1555" w:type="dxa"/>
          </w:tcPr>
          <w:p w14:paraId="0BA680B2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0DA3D3A1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60FA8C58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06E70967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68606A70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55E04977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</w:tr>
      <w:tr w:rsidR="00AA6856" w14:paraId="0C4A156A" w14:textId="77777777">
        <w:trPr>
          <w:trHeight w:val="561"/>
        </w:trPr>
        <w:tc>
          <w:tcPr>
            <w:tcW w:w="1555" w:type="dxa"/>
          </w:tcPr>
          <w:p w14:paraId="7F1BD1F7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6952DE33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2B2332E7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0064A2BC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2FC3BF78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039528C7" w14:textId="77777777" w:rsidR="00AA6856" w:rsidRDefault="00AA6856">
            <w:pPr>
              <w:pStyle w:val="TableText"/>
              <w:rPr>
                <w:rFonts w:hint="eastAsia"/>
              </w:rPr>
            </w:pPr>
          </w:p>
        </w:tc>
      </w:tr>
    </w:tbl>
    <w:p w14:paraId="1124430D" w14:textId="77777777" w:rsidR="00AA6856" w:rsidRDefault="00000000">
      <w:r>
        <w:br w:type="page"/>
      </w:r>
    </w:p>
    <w:sdt>
      <w:sdtPr>
        <w:rPr>
          <w:rFonts w:ascii="宋体" w:eastAsia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cs="宋体" w:hint="eastAsia"/>
          <w:sz w:val="24"/>
          <w:szCs w:val="24"/>
        </w:rPr>
      </w:sdtEndPr>
      <w:sdtContent>
        <w:p w14:paraId="372CFE66" w14:textId="77777777" w:rsidR="00AA6856" w:rsidRDefault="00000000">
          <w:pPr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 w14:paraId="54285D21" w14:textId="77777777" w:rsidR="00AA6856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hyperlink w:anchor="_Toc15392" w:history="1">
            <w:r w:rsidR="00AA6856">
              <w:rPr>
                <w:rFonts w:hint="eastAsia"/>
                <w:lang w:eastAsia="zh-CN"/>
              </w:rPr>
              <w:t>陕西益利德软件科技有限公司</w:t>
            </w:r>
            <w:r w:rsidR="00AA6856">
              <w:tab/>
            </w:r>
            <w:r w:rsidR="00AA6856">
              <w:fldChar w:fldCharType="begin"/>
            </w:r>
            <w:r w:rsidR="00AA6856">
              <w:instrText xml:space="preserve"> PAGEREF _Toc15392 \h </w:instrText>
            </w:r>
            <w:r w:rsidR="00AA6856">
              <w:fldChar w:fldCharType="separate"/>
            </w:r>
            <w:r w:rsidR="00AA6856">
              <w:t>1</w:t>
            </w:r>
            <w:r w:rsidR="00AA6856">
              <w:fldChar w:fldCharType="end"/>
            </w:r>
          </w:hyperlink>
        </w:p>
        <w:p w14:paraId="2B899F2B" w14:textId="77777777" w:rsidR="00AA6856" w:rsidRDefault="00AA6856">
          <w:pPr>
            <w:pStyle w:val="TOC1"/>
            <w:tabs>
              <w:tab w:val="right" w:leader="dot" w:pos="8306"/>
            </w:tabs>
          </w:pPr>
          <w:hyperlink w:anchor="_Toc22916" w:history="1">
            <w:r>
              <w:rPr>
                <w:rFonts w:hint="eastAsia"/>
                <w:lang w:eastAsia="zh-CN"/>
              </w:rPr>
              <w:t>过程量化指标</w:t>
            </w:r>
            <w:r>
              <w:tab/>
            </w:r>
            <w:r>
              <w:fldChar w:fldCharType="begin"/>
            </w:r>
            <w:r>
              <w:instrText xml:space="preserve"> PAGEREF _Toc22916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59AC08D7" w14:textId="77777777" w:rsidR="00AA6856" w:rsidRDefault="00000000">
          <w:pPr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 w14:paraId="37DC003D" w14:textId="77777777" w:rsidR="00AA6856" w:rsidRDefault="00000000">
      <w:r>
        <w:br w:type="page"/>
      </w:r>
    </w:p>
    <w:p w14:paraId="0E01FFBA" w14:textId="77777777" w:rsidR="00AA6856" w:rsidRDefault="00000000">
      <w:pPr>
        <w:jc w:val="center"/>
        <w:rPr>
          <w:rFonts w:eastAsia="宋体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烟台林海嵎峡田综合体智慧农业大数据平台建设项目</w:t>
      </w:r>
      <w:r>
        <w:rPr>
          <w:rFonts w:eastAsia="宋体" w:hint="eastAsia"/>
          <w:b/>
          <w:bCs/>
          <w:lang w:eastAsia="zh-CN"/>
        </w:rPr>
        <w:t>-</w:t>
      </w:r>
      <w:r>
        <w:rPr>
          <w:rFonts w:eastAsia="宋体" w:hint="eastAsia"/>
          <w:b/>
          <w:bCs/>
          <w:lang w:eastAsia="zh-CN"/>
        </w:rPr>
        <w:t>过程量化指标</w:t>
      </w:r>
    </w:p>
    <w:tbl>
      <w:tblPr>
        <w:tblStyle w:val="TableNormal0"/>
        <w:tblW w:w="9604" w:type="dxa"/>
        <w:tblInd w:w="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05"/>
        <w:gridCol w:w="2131"/>
        <w:gridCol w:w="860"/>
        <w:gridCol w:w="3644"/>
        <w:gridCol w:w="640"/>
        <w:gridCol w:w="1124"/>
      </w:tblGrid>
      <w:tr w:rsidR="00AA6856" w14:paraId="5BE48CA3" w14:textId="77777777">
        <w:trPr>
          <w:trHeight w:val="224"/>
        </w:trPr>
        <w:tc>
          <w:tcPr>
            <w:tcW w:w="1147" w:type="dxa"/>
            <w:vAlign w:val="center"/>
          </w:tcPr>
          <w:p w14:paraId="7DBC34B2" w14:textId="77777777" w:rsidR="00AA6856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</w:tcPr>
          <w:p w14:paraId="383E7E5C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过程框架设计与服务需求的匹配率</w:t>
            </w:r>
          </w:p>
        </w:tc>
        <w:tc>
          <w:tcPr>
            <w:tcW w:w="818" w:type="dxa"/>
          </w:tcPr>
          <w:p w14:paraId="50826643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≥85%</w:t>
            </w:r>
          </w:p>
        </w:tc>
        <w:tc>
          <w:tcPr>
            <w:tcW w:w="3468" w:type="dxa"/>
          </w:tcPr>
          <w:p w14:paraId="359A0630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过程框架设计与服务需求的匹配率</w:t>
            </w:r>
          </w:p>
        </w:tc>
        <w:tc>
          <w:tcPr>
            <w:tcW w:w="609" w:type="dxa"/>
          </w:tcPr>
          <w:p w14:paraId="70EC1DDA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2D4219CD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098CDE17" w14:textId="77777777">
        <w:trPr>
          <w:trHeight w:val="224"/>
        </w:trPr>
        <w:tc>
          <w:tcPr>
            <w:tcW w:w="1147" w:type="dxa"/>
            <w:vMerge w:val="restart"/>
            <w:vAlign w:val="center"/>
          </w:tcPr>
          <w:p w14:paraId="69F427C6" w14:textId="77777777" w:rsidR="00AA6856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服务级别</w:t>
            </w:r>
          </w:p>
        </w:tc>
        <w:tc>
          <w:tcPr>
            <w:tcW w:w="2028" w:type="dxa"/>
          </w:tcPr>
          <w:p w14:paraId="56A6B99C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服务级别达成率</w:t>
            </w:r>
          </w:p>
        </w:tc>
        <w:tc>
          <w:tcPr>
            <w:tcW w:w="818" w:type="dxa"/>
          </w:tcPr>
          <w:p w14:paraId="552B77FA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</w:tcPr>
          <w:p w14:paraId="7FA697A5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达成SLA要求的项目数/项目总数*100%</w:t>
            </w:r>
          </w:p>
        </w:tc>
        <w:tc>
          <w:tcPr>
            <w:tcW w:w="609" w:type="dxa"/>
          </w:tcPr>
          <w:p w14:paraId="35148F60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每月</w:t>
            </w:r>
          </w:p>
        </w:tc>
        <w:tc>
          <w:tcPr>
            <w:tcW w:w="1070" w:type="dxa"/>
          </w:tcPr>
          <w:p w14:paraId="70CD2838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4164E9FB" w14:textId="77777777">
        <w:trPr>
          <w:trHeight w:val="171"/>
        </w:trPr>
        <w:tc>
          <w:tcPr>
            <w:tcW w:w="1147" w:type="dxa"/>
            <w:vMerge/>
            <w:vAlign w:val="center"/>
          </w:tcPr>
          <w:p w14:paraId="7C30C1A3" w14:textId="77777777" w:rsidR="00AA6856" w:rsidRDefault="00AA6856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5818DA3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SLA达成情况按时监控率</w:t>
            </w:r>
          </w:p>
        </w:tc>
        <w:tc>
          <w:tcPr>
            <w:tcW w:w="818" w:type="dxa"/>
          </w:tcPr>
          <w:p w14:paraId="06239723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</w:tcPr>
          <w:p w14:paraId="1E69C301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得到及时监控的项目数/项目总数*100%</w:t>
            </w:r>
          </w:p>
        </w:tc>
        <w:tc>
          <w:tcPr>
            <w:tcW w:w="609" w:type="dxa"/>
          </w:tcPr>
          <w:p w14:paraId="5A6AB40F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4A8A9437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4C9EAE19" w14:textId="77777777">
        <w:trPr>
          <w:trHeight w:val="430"/>
        </w:trPr>
        <w:tc>
          <w:tcPr>
            <w:tcW w:w="1147" w:type="dxa"/>
            <w:vMerge/>
            <w:vAlign w:val="center"/>
          </w:tcPr>
          <w:p w14:paraId="57712084" w14:textId="77777777" w:rsidR="00AA6856" w:rsidRDefault="00AA6856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</w:tcPr>
          <w:p w14:paraId="29F95C18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未达成指标分析并制定改进措施比率</w:t>
            </w:r>
          </w:p>
        </w:tc>
        <w:tc>
          <w:tcPr>
            <w:tcW w:w="818" w:type="dxa"/>
          </w:tcPr>
          <w:p w14:paraId="5E4ECD06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3468" w:type="dxa"/>
          </w:tcPr>
          <w:p w14:paraId="101C43E3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监控指标未达标时分析并制定改进措施次数/未达成指标数量*100%</w:t>
            </w:r>
          </w:p>
        </w:tc>
        <w:tc>
          <w:tcPr>
            <w:tcW w:w="609" w:type="dxa"/>
          </w:tcPr>
          <w:p w14:paraId="276513BD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6BB2FCF2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3C056AB7" w14:textId="77777777">
        <w:trPr>
          <w:trHeight w:val="430"/>
        </w:trPr>
        <w:tc>
          <w:tcPr>
            <w:tcW w:w="1147" w:type="dxa"/>
            <w:vMerge w:val="restart"/>
            <w:vAlign w:val="center"/>
          </w:tcPr>
          <w:p w14:paraId="7E89DB5B" w14:textId="77777777" w:rsidR="00AA6856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服务报告</w:t>
            </w:r>
          </w:p>
        </w:tc>
        <w:tc>
          <w:tcPr>
            <w:tcW w:w="2028" w:type="dxa"/>
          </w:tcPr>
          <w:p w14:paraId="09B12FF1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服务报告按时交付率</w:t>
            </w:r>
          </w:p>
        </w:tc>
        <w:tc>
          <w:tcPr>
            <w:tcW w:w="818" w:type="dxa"/>
          </w:tcPr>
          <w:p w14:paraId="6D88EA05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3468" w:type="dxa"/>
          </w:tcPr>
          <w:p w14:paraId="3886A7DF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服务报告按时交付数/服务报告总数*100%</w:t>
            </w:r>
          </w:p>
        </w:tc>
        <w:tc>
          <w:tcPr>
            <w:tcW w:w="609" w:type="dxa"/>
          </w:tcPr>
          <w:p w14:paraId="20E2D8C6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39A2F7B3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12C2DFB3" w14:textId="77777777">
        <w:trPr>
          <w:trHeight w:val="430"/>
        </w:trPr>
        <w:tc>
          <w:tcPr>
            <w:tcW w:w="1147" w:type="dxa"/>
            <w:vMerge/>
            <w:vAlign w:val="center"/>
          </w:tcPr>
          <w:p w14:paraId="36DBBC68" w14:textId="77777777" w:rsidR="00AA6856" w:rsidRDefault="00AA6856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</w:tcPr>
          <w:p w14:paraId="26D7B807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服务报告审核率</w:t>
            </w:r>
          </w:p>
        </w:tc>
        <w:tc>
          <w:tcPr>
            <w:tcW w:w="818" w:type="dxa"/>
          </w:tcPr>
          <w:p w14:paraId="3CBB9AA4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3468" w:type="dxa"/>
          </w:tcPr>
          <w:p w14:paraId="042864F7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服务发布前按程序审核数/服务报告总数*100%</w:t>
            </w:r>
          </w:p>
        </w:tc>
        <w:tc>
          <w:tcPr>
            <w:tcW w:w="609" w:type="dxa"/>
          </w:tcPr>
          <w:p w14:paraId="1CB613FA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102912CC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5D24B92D" w14:textId="77777777">
        <w:trPr>
          <w:trHeight w:val="298"/>
        </w:trPr>
        <w:tc>
          <w:tcPr>
            <w:tcW w:w="1147" w:type="dxa"/>
            <w:vAlign w:val="center"/>
          </w:tcPr>
          <w:p w14:paraId="590C835C" w14:textId="77777777" w:rsidR="00AA6856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事件管理</w:t>
            </w:r>
          </w:p>
        </w:tc>
        <w:tc>
          <w:tcPr>
            <w:tcW w:w="2028" w:type="dxa"/>
          </w:tcPr>
          <w:p w14:paraId="50183624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事件及时响应率</w:t>
            </w:r>
          </w:p>
        </w:tc>
        <w:tc>
          <w:tcPr>
            <w:tcW w:w="818" w:type="dxa"/>
          </w:tcPr>
          <w:p w14:paraId="4BE1D520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</w:tcPr>
          <w:p w14:paraId="31BA027E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月度及时响应的事件/月度总事件*100%</w:t>
            </w:r>
          </w:p>
        </w:tc>
        <w:tc>
          <w:tcPr>
            <w:tcW w:w="609" w:type="dxa"/>
          </w:tcPr>
          <w:p w14:paraId="47FE7BC2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每月</w:t>
            </w:r>
          </w:p>
        </w:tc>
        <w:tc>
          <w:tcPr>
            <w:tcW w:w="1070" w:type="dxa"/>
          </w:tcPr>
          <w:p w14:paraId="08DE8F1B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20197952" w14:textId="77777777">
        <w:trPr>
          <w:trHeight w:val="430"/>
        </w:trPr>
        <w:tc>
          <w:tcPr>
            <w:tcW w:w="1147" w:type="dxa"/>
            <w:vMerge w:val="restart"/>
            <w:vAlign w:val="center"/>
          </w:tcPr>
          <w:p w14:paraId="64E0E04B" w14:textId="77777777" w:rsidR="00AA6856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问题管理</w:t>
            </w:r>
          </w:p>
        </w:tc>
        <w:tc>
          <w:tcPr>
            <w:tcW w:w="2028" w:type="dxa"/>
          </w:tcPr>
          <w:p w14:paraId="22097B22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三次同类事件分析率</w:t>
            </w:r>
          </w:p>
        </w:tc>
        <w:tc>
          <w:tcPr>
            <w:tcW w:w="818" w:type="dxa"/>
          </w:tcPr>
          <w:p w14:paraId="60C591AE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</w:tcPr>
          <w:p w14:paraId="1672A13F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发生三次同类事件时提供分析报告数/当季发生三次同类事件情况总数*100%</w:t>
            </w:r>
          </w:p>
        </w:tc>
        <w:tc>
          <w:tcPr>
            <w:tcW w:w="609" w:type="dxa"/>
          </w:tcPr>
          <w:p w14:paraId="46A0A9FB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1CA5CF96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532481F6" w14:textId="77777777">
        <w:trPr>
          <w:trHeight w:val="430"/>
        </w:trPr>
        <w:tc>
          <w:tcPr>
            <w:tcW w:w="1147" w:type="dxa"/>
            <w:vMerge/>
            <w:vAlign w:val="center"/>
          </w:tcPr>
          <w:p w14:paraId="0C5011BD" w14:textId="77777777" w:rsidR="00AA6856" w:rsidRDefault="00AA6856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6C5360E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问题三个月内得到解决的比率</w:t>
            </w:r>
          </w:p>
        </w:tc>
        <w:tc>
          <w:tcPr>
            <w:tcW w:w="818" w:type="dxa"/>
          </w:tcPr>
          <w:p w14:paraId="06B7B259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</w:tcPr>
          <w:p w14:paraId="5041AC2A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问题在三个月内得到解决的数量/发生问题总数*100%</w:t>
            </w:r>
          </w:p>
        </w:tc>
        <w:tc>
          <w:tcPr>
            <w:tcW w:w="609" w:type="dxa"/>
          </w:tcPr>
          <w:p w14:paraId="0276AB11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1D8D5C8E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4ADEEA6C" w14:textId="77777777">
        <w:trPr>
          <w:trHeight w:val="224"/>
        </w:trPr>
        <w:tc>
          <w:tcPr>
            <w:tcW w:w="1147" w:type="dxa"/>
            <w:vMerge w:val="restart"/>
            <w:vAlign w:val="center"/>
          </w:tcPr>
          <w:p w14:paraId="3A9AAB0F" w14:textId="77777777" w:rsidR="00AA6856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变更管理</w:t>
            </w:r>
          </w:p>
        </w:tc>
        <w:tc>
          <w:tcPr>
            <w:tcW w:w="2028" w:type="dxa"/>
          </w:tcPr>
          <w:p w14:paraId="5AA13F7B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变更成功率</w:t>
            </w:r>
          </w:p>
        </w:tc>
        <w:tc>
          <w:tcPr>
            <w:tcW w:w="818" w:type="dxa"/>
          </w:tcPr>
          <w:p w14:paraId="770D3423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</w:tcPr>
          <w:p w14:paraId="5096167A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变更成功的数量/变更总数*100%</w:t>
            </w:r>
          </w:p>
        </w:tc>
        <w:tc>
          <w:tcPr>
            <w:tcW w:w="609" w:type="dxa"/>
          </w:tcPr>
          <w:p w14:paraId="28E93896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162CAC69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5E74C3AD" w14:textId="77777777">
        <w:trPr>
          <w:trHeight w:val="235"/>
        </w:trPr>
        <w:tc>
          <w:tcPr>
            <w:tcW w:w="1147" w:type="dxa"/>
            <w:vMerge/>
            <w:vAlign w:val="center"/>
          </w:tcPr>
          <w:p w14:paraId="64D40680" w14:textId="77777777" w:rsidR="00AA6856" w:rsidRDefault="00AA6856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50A5177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紧急变更比率</w:t>
            </w:r>
          </w:p>
        </w:tc>
        <w:tc>
          <w:tcPr>
            <w:tcW w:w="818" w:type="dxa"/>
          </w:tcPr>
          <w:p w14:paraId="67E40A76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&lt;10%</w:t>
            </w:r>
          </w:p>
        </w:tc>
        <w:tc>
          <w:tcPr>
            <w:tcW w:w="3468" w:type="dxa"/>
          </w:tcPr>
          <w:p w14:paraId="32722E9B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紧急变更的数量/变更总数*100%</w:t>
            </w:r>
          </w:p>
        </w:tc>
        <w:tc>
          <w:tcPr>
            <w:tcW w:w="609" w:type="dxa"/>
          </w:tcPr>
          <w:p w14:paraId="6172ACB3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0758384E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20E6B265" w14:textId="77777777">
        <w:trPr>
          <w:trHeight w:val="191"/>
        </w:trPr>
        <w:tc>
          <w:tcPr>
            <w:tcW w:w="1147" w:type="dxa"/>
            <w:vAlign w:val="center"/>
          </w:tcPr>
          <w:p w14:paraId="4083BEA8" w14:textId="77777777" w:rsidR="00AA6856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发布管理</w:t>
            </w:r>
          </w:p>
        </w:tc>
        <w:tc>
          <w:tcPr>
            <w:tcW w:w="2028" w:type="dxa"/>
          </w:tcPr>
          <w:p w14:paraId="193601B5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发布实施成功率</w:t>
            </w:r>
          </w:p>
        </w:tc>
        <w:tc>
          <w:tcPr>
            <w:tcW w:w="818" w:type="dxa"/>
          </w:tcPr>
          <w:p w14:paraId="47EC4BF4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</w:tcPr>
          <w:p w14:paraId="4F2AA941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发布实施成功总数/发布实施总数*100%</w:t>
            </w:r>
          </w:p>
        </w:tc>
        <w:tc>
          <w:tcPr>
            <w:tcW w:w="609" w:type="dxa"/>
          </w:tcPr>
          <w:p w14:paraId="32AC05BF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0C652FC8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6C708444" w14:textId="77777777">
        <w:trPr>
          <w:trHeight w:val="430"/>
        </w:trPr>
        <w:tc>
          <w:tcPr>
            <w:tcW w:w="1147" w:type="dxa"/>
            <w:vMerge w:val="restart"/>
            <w:vAlign w:val="center"/>
          </w:tcPr>
          <w:p w14:paraId="4D56A302" w14:textId="77777777" w:rsidR="00AA6856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配置管理</w:t>
            </w:r>
          </w:p>
        </w:tc>
        <w:tc>
          <w:tcPr>
            <w:tcW w:w="2028" w:type="dxa"/>
          </w:tcPr>
          <w:p w14:paraId="0FB86729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配置项更新时间达标率</w:t>
            </w:r>
          </w:p>
        </w:tc>
        <w:tc>
          <w:tcPr>
            <w:tcW w:w="818" w:type="dxa"/>
          </w:tcPr>
          <w:p w14:paraId="305A44CC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</w:tcPr>
          <w:p w14:paraId="120E02BB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配置项变更时在7日内更新记录的项目数/发生配置项变更的项目总数*100%</w:t>
            </w:r>
          </w:p>
        </w:tc>
        <w:tc>
          <w:tcPr>
            <w:tcW w:w="609" w:type="dxa"/>
          </w:tcPr>
          <w:p w14:paraId="3E8B7163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0689B850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6A36B903" w14:textId="77777777">
        <w:trPr>
          <w:trHeight w:val="430"/>
        </w:trPr>
        <w:tc>
          <w:tcPr>
            <w:tcW w:w="1147" w:type="dxa"/>
            <w:vMerge/>
            <w:vAlign w:val="center"/>
          </w:tcPr>
          <w:p w14:paraId="338F0F2D" w14:textId="77777777" w:rsidR="00AA6856" w:rsidRDefault="00AA6856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</w:tcPr>
          <w:p w14:paraId="12460F89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抽查配置管理数据库准确率</w:t>
            </w:r>
          </w:p>
        </w:tc>
        <w:tc>
          <w:tcPr>
            <w:tcW w:w="818" w:type="dxa"/>
          </w:tcPr>
          <w:p w14:paraId="24CEBA9C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≥98%</w:t>
            </w:r>
          </w:p>
        </w:tc>
        <w:tc>
          <w:tcPr>
            <w:tcW w:w="3468" w:type="dxa"/>
          </w:tcPr>
          <w:p w14:paraId="29D9C339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抽查的配置项记录与现场实际相符的项目数/抽查配置项的项目总数*100%</w:t>
            </w:r>
          </w:p>
        </w:tc>
        <w:tc>
          <w:tcPr>
            <w:tcW w:w="609" w:type="dxa"/>
          </w:tcPr>
          <w:p w14:paraId="22231F4D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38748C4A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5A0168CE" w14:textId="77777777">
        <w:trPr>
          <w:trHeight w:val="430"/>
        </w:trPr>
        <w:tc>
          <w:tcPr>
            <w:tcW w:w="1147" w:type="dxa"/>
            <w:vAlign w:val="center"/>
          </w:tcPr>
          <w:p w14:paraId="5064A8E4" w14:textId="77777777" w:rsidR="00AA6856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服务可用性和连续性管理</w:t>
            </w:r>
          </w:p>
        </w:tc>
        <w:tc>
          <w:tcPr>
            <w:tcW w:w="2028" w:type="dxa"/>
          </w:tcPr>
          <w:p w14:paraId="40B015E2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系统可用率</w:t>
            </w:r>
          </w:p>
        </w:tc>
        <w:tc>
          <w:tcPr>
            <w:tcW w:w="818" w:type="dxa"/>
          </w:tcPr>
          <w:p w14:paraId="3E445DE3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≥98%</w:t>
            </w:r>
          </w:p>
        </w:tc>
        <w:tc>
          <w:tcPr>
            <w:tcW w:w="3468" w:type="dxa"/>
          </w:tcPr>
          <w:p w14:paraId="5FD29EAF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系统可用的数量/系统总数*100%</w:t>
            </w:r>
          </w:p>
        </w:tc>
        <w:tc>
          <w:tcPr>
            <w:tcW w:w="609" w:type="dxa"/>
          </w:tcPr>
          <w:p w14:paraId="2E1E9BE2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674EEDB0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0F9C2660" w14:textId="77777777">
        <w:trPr>
          <w:trHeight w:val="430"/>
        </w:trPr>
        <w:tc>
          <w:tcPr>
            <w:tcW w:w="1147" w:type="dxa"/>
            <w:vAlign w:val="center"/>
          </w:tcPr>
          <w:p w14:paraId="031E87F2" w14:textId="77777777" w:rsidR="00AA6856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</w:tcPr>
          <w:p w14:paraId="455211FA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由于容量原因发生的事件次数</w:t>
            </w:r>
          </w:p>
        </w:tc>
        <w:tc>
          <w:tcPr>
            <w:tcW w:w="818" w:type="dxa"/>
          </w:tcPr>
          <w:p w14:paraId="78886D19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&lt;3次</w:t>
            </w:r>
          </w:p>
        </w:tc>
        <w:tc>
          <w:tcPr>
            <w:tcW w:w="3468" w:type="dxa"/>
          </w:tcPr>
          <w:p w14:paraId="24CE61A7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由于容量原因发生的事件次数</w:t>
            </w:r>
          </w:p>
        </w:tc>
        <w:tc>
          <w:tcPr>
            <w:tcW w:w="609" w:type="dxa"/>
          </w:tcPr>
          <w:p w14:paraId="1C850A07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</w:tcPr>
          <w:p w14:paraId="36DE7786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181E18EB" w14:textId="77777777">
        <w:trPr>
          <w:trHeight w:val="287"/>
        </w:trPr>
        <w:tc>
          <w:tcPr>
            <w:tcW w:w="1147" w:type="dxa"/>
            <w:vMerge w:val="restart"/>
            <w:vAlign w:val="center"/>
          </w:tcPr>
          <w:p w14:paraId="7478EA6B" w14:textId="77777777" w:rsidR="00AA6856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信息安全</w:t>
            </w:r>
          </w:p>
        </w:tc>
        <w:tc>
          <w:tcPr>
            <w:tcW w:w="2028" w:type="dxa"/>
          </w:tcPr>
          <w:p w14:paraId="5DC5F7E4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客户信息泄露次数</w:t>
            </w:r>
          </w:p>
        </w:tc>
        <w:tc>
          <w:tcPr>
            <w:tcW w:w="818" w:type="dxa"/>
          </w:tcPr>
          <w:p w14:paraId="0EC3CAC3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0次</w:t>
            </w:r>
          </w:p>
        </w:tc>
        <w:tc>
          <w:tcPr>
            <w:tcW w:w="3468" w:type="dxa"/>
          </w:tcPr>
          <w:p w14:paraId="084641A8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服务过程中不得发生客户信息泄露</w:t>
            </w:r>
          </w:p>
        </w:tc>
        <w:tc>
          <w:tcPr>
            <w:tcW w:w="609" w:type="dxa"/>
          </w:tcPr>
          <w:p w14:paraId="0A5180F5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</w:tcPr>
          <w:p w14:paraId="73CCEFF2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  <w:tr w:rsidR="00AA6856" w14:paraId="7F174B52" w14:textId="77777777">
        <w:trPr>
          <w:trHeight w:val="430"/>
        </w:trPr>
        <w:tc>
          <w:tcPr>
            <w:tcW w:w="1147" w:type="dxa"/>
            <w:vMerge/>
            <w:vAlign w:val="center"/>
          </w:tcPr>
          <w:p w14:paraId="55AEA88A" w14:textId="77777777" w:rsidR="00AA6856" w:rsidRDefault="00AA6856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</w:tcPr>
          <w:p w14:paraId="2884A6AD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信息安全事件客户投诉</w:t>
            </w:r>
          </w:p>
        </w:tc>
        <w:tc>
          <w:tcPr>
            <w:tcW w:w="818" w:type="dxa"/>
          </w:tcPr>
          <w:p w14:paraId="03FB0DF2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0次</w:t>
            </w:r>
          </w:p>
        </w:tc>
        <w:tc>
          <w:tcPr>
            <w:tcW w:w="3468" w:type="dxa"/>
          </w:tcPr>
          <w:p w14:paraId="5152C13F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服务过程中不得发生信息安全事件客户投诉</w:t>
            </w:r>
          </w:p>
        </w:tc>
        <w:tc>
          <w:tcPr>
            <w:tcW w:w="609" w:type="dxa"/>
          </w:tcPr>
          <w:p w14:paraId="6ECC80E6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</w:tcPr>
          <w:p w14:paraId="3679F0CA" w14:textId="77777777" w:rsidR="00AA6856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交付部</w:t>
            </w:r>
          </w:p>
        </w:tc>
      </w:tr>
    </w:tbl>
    <w:p w14:paraId="3BB1961B" w14:textId="77777777" w:rsidR="00AA6856" w:rsidRDefault="00AA6856">
      <w:pPr>
        <w:rPr>
          <w:lang w:eastAsia="zh-CN"/>
        </w:rPr>
      </w:pPr>
    </w:p>
    <w:sectPr w:rsidR="00AA6856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B39AF" w14:textId="77777777" w:rsidR="00611A2B" w:rsidRDefault="00611A2B">
      <w:r>
        <w:separator/>
      </w:r>
    </w:p>
  </w:endnote>
  <w:endnote w:type="continuationSeparator" w:id="0">
    <w:p w14:paraId="34774DB2" w14:textId="77777777" w:rsidR="00611A2B" w:rsidRDefault="00611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6A12D" w14:textId="77777777" w:rsidR="00611A2B" w:rsidRDefault="00611A2B">
      <w:r>
        <w:separator/>
      </w:r>
    </w:p>
  </w:footnote>
  <w:footnote w:type="continuationSeparator" w:id="0">
    <w:p w14:paraId="66CD7EB1" w14:textId="77777777" w:rsidR="00611A2B" w:rsidRDefault="00611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7A298" w14:textId="77777777" w:rsidR="00AA6856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188162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856"/>
    <w:rsid w:val="00611A2B"/>
    <w:rsid w:val="00713315"/>
    <w:rsid w:val="009276F1"/>
    <w:rsid w:val="009E07D1"/>
    <w:rsid w:val="00AA6856"/>
    <w:rsid w:val="00CE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92AEB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rFonts w:eastAsia="宋体"/>
      <w:sz w:val="32"/>
    </w:rPr>
  </w:style>
  <w:style w:type="paragraph" w:customStyle="1" w:styleId="ad">
    <w:name w:val="柴_正文"/>
    <w:basedOn w:val="a4"/>
    <w:qFormat/>
    <w:pPr>
      <w:spacing w:line="360" w:lineRule="auto"/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"/>
    <w:qFormat/>
    <w:pPr>
      <w:spacing w:line="360" w:lineRule="auto"/>
      <w:ind w:left="0" w:firstLineChars="200" w:firstLine="472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618</Words>
  <Characters>725</Characters>
  <Application>Microsoft Office Word</Application>
  <DocSecurity>0</DocSecurity>
  <Lines>145</Lines>
  <Paragraphs>167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3</cp:revision>
  <dcterms:created xsi:type="dcterms:W3CDTF">2025-09-03T14:43:00Z</dcterms:created>
  <dcterms:modified xsi:type="dcterms:W3CDTF">2026-02-25T11:46:00Z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