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36E6" w14:textId="77777777" w:rsidR="006F5978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</w:t>
      </w:r>
      <w:proofErr w:type="spellStart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ITSS</w:t>
      </w:r>
      <w:proofErr w:type="spellEnd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2-07</w:t>
      </w:r>
    </w:p>
    <w:p w14:paraId="24D7055A" w14:textId="77777777" w:rsidR="006F5978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</w:t>
      </w:r>
      <w:proofErr w:type="spellStart"/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V1.0</w:t>
      </w:r>
      <w:proofErr w:type="spellEnd"/>
    </w:p>
    <w:p w14:paraId="67F50178" w14:textId="77777777" w:rsidR="006F5978" w:rsidRDefault="00000000">
      <w:pPr>
        <w:pStyle w:val="ab"/>
        <w:widowControl w:val="0"/>
        <w:spacing w:after="1872"/>
        <w:rPr>
          <w:lang w:eastAsia="zh-CN"/>
        </w:rPr>
      </w:pPr>
      <w:bookmarkStart w:id="0" w:name="_Toc22278"/>
      <w:bookmarkStart w:id="1" w:name="_Toc1623"/>
      <w:r>
        <w:rPr>
          <w:lang w:eastAsia="zh-CN"/>
        </w:rPr>
        <w:t>陕西益利</w:t>
      </w:r>
      <w:proofErr w:type="gramStart"/>
      <w:r>
        <w:rPr>
          <w:lang w:eastAsia="zh-CN"/>
        </w:rPr>
        <w:t>德软件</w:t>
      </w:r>
      <w:proofErr w:type="gramEnd"/>
      <w:r>
        <w:rPr>
          <w:lang w:eastAsia="zh-CN"/>
        </w:rPr>
        <w:t>科技有限公司</w:t>
      </w:r>
      <w:bookmarkEnd w:id="0"/>
      <w:bookmarkEnd w:id="1"/>
    </w:p>
    <w:p w14:paraId="3D464624" w14:textId="77777777" w:rsidR="006F5978" w:rsidRDefault="00000000">
      <w:pPr>
        <w:pStyle w:val="ac"/>
        <w:widowControl w:val="0"/>
        <w:spacing w:after="2808"/>
        <w:rPr>
          <w:rFonts w:hint="eastAsia"/>
          <w:lang w:eastAsia="zh-CN"/>
        </w:rPr>
      </w:pPr>
      <w:bookmarkStart w:id="2" w:name="_Toc32476"/>
      <w:r>
        <w:rPr>
          <w:lang w:eastAsia="zh-CN"/>
        </w:rPr>
        <w:t>烟台林海</w:t>
      </w:r>
      <w:proofErr w:type="gramStart"/>
      <w:r>
        <w:rPr>
          <w:lang w:eastAsia="zh-CN"/>
        </w:rPr>
        <w:t>嵎峡田综合体</w:t>
      </w:r>
      <w:proofErr w:type="gramEnd"/>
      <w:r>
        <w:rPr>
          <w:lang w:eastAsia="zh-CN"/>
        </w:rPr>
        <w:t>智慧农业大数据平台建设项目</w:t>
      </w:r>
      <w:r>
        <w:rPr>
          <w:rFonts w:hint="eastAsia"/>
          <w:lang w:eastAsia="zh-CN"/>
        </w:rPr>
        <w:t>信息安全管理报告</w:t>
      </w:r>
      <w:bookmarkEnd w:id="2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1"/>
        <w:gridCol w:w="4112"/>
      </w:tblGrid>
      <w:tr w:rsidR="006F5978" w14:paraId="08D65519" w14:textId="77777777">
        <w:trPr>
          <w:trHeight w:val="810"/>
        </w:trPr>
        <w:tc>
          <w:tcPr>
            <w:tcW w:w="1818" w:type="dxa"/>
          </w:tcPr>
          <w:p w14:paraId="4BFD9BFC" w14:textId="77777777" w:rsidR="006F5978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5B55E245" w14:textId="0FA789FF" w:rsidR="006F5978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 w:rsidR="008F1DA0">
              <w:rPr>
                <w:rFonts w:hint="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:rsidR="006F5978" w14:paraId="4AA48DB5" w14:textId="77777777">
        <w:trPr>
          <w:trHeight w:val="810"/>
        </w:trPr>
        <w:tc>
          <w:tcPr>
            <w:tcW w:w="1818" w:type="dxa"/>
          </w:tcPr>
          <w:p w14:paraId="218B665E" w14:textId="77777777" w:rsidR="006F5978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90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7BE2E628" w14:textId="3EE74718" w:rsidR="006F5978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 w:rsidR="008F1DA0">
              <w:rPr>
                <w:rFonts w:hint="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:rsidR="006F5978" w14:paraId="532AEDE8" w14:textId="77777777">
        <w:trPr>
          <w:trHeight w:val="635"/>
        </w:trPr>
        <w:tc>
          <w:tcPr>
            <w:tcW w:w="1818" w:type="dxa"/>
          </w:tcPr>
          <w:p w14:paraId="25DD384A" w14:textId="77777777" w:rsidR="006F5978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proofErr w:type="gramStart"/>
            <w:r>
              <w:rPr>
                <w:rFonts w:hint="eastAsia"/>
                <w:u w:val="single"/>
                <w:lang w:eastAsia="zh-CN"/>
              </w:rPr>
              <w:t>鲁玉锋</w:t>
            </w:r>
            <w:proofErr w:type="gramEnd"/>
          </w:p>
        </w:tc>
        <w:tc>
          <w:tcPr>
            <w:tcW w:w="4261" w:type="dxa"/>
          </w:tcPr>
          <w:p w14:paraId="32C53910" w14:textId="7AD8E1D6" w:rsidR="006F5978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 w:rsidR="008F1DA0">
              <w:rPr>
                <w:rFonts w:hint="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30F5C7FB" w14:textId="77777777" w:rsidR="006F5978" w:rsidRDefault="00000000">
      <w:pPr>
        <w:widowControl w:val="0"/>
      </w:pPr>
      <w:r>
        <w:lastRenderedPageBreak/>
        <w:br w:type="page"/>
      </w:r>
    </w:p>
    <w:p w14:paraId="6005B4D5" w14:textId="77777777" w:rsidR="006F5978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proofErr w:type="spellStart"/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  <w:proofErr w:type="spellEnd"/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6F5978" w14:paraId="5F820F6E" w14:textId="77777777">
        <w:trPr>
          <w:trHeight w:val="593"/>
        </w:trPr>
        <w:tc>
          <w:tcPr>
            <w:tcW w:w="1555" w:type="dxa"/>
          </w:tcPr>
          <w:p w14:paraId="55F7489D" w14:textId="77777777" w:rsidR="006F5978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  <w:proofErr w:type="spellEnd"/>
          </w:p>
        </w:tc>
        <w:tc>
          <w:tcPr>
            <w:tcW w:w="919" w:type="dxa"/>
          </w:tcPr>
          <w:p w14:paraId="0AA984D5" w14:textId="77777777" w:rsidR="006F5978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  <w:proofErr w:type="spellEnd"/>
          </w:p>
        </w:tc>
        <w:tc>
          <w:tcPr>
            <w:tcW w:w="2289" w:type="dxa"/>
          </w:tcPr>
          <w:p w14:paraId="24599208" w14:textId="77777777" w:rsidR="006F5978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  <w:proofErr w:type="spellEnd"/>
          </w:p>
        </w:tc>
        <w:tc>
          <w:tcPr>
            <w:tcW w:w="1148" w:type="dxa"/>
          </w:tcPr>
          <w:p w14:paraId="1B440EA8" w14:textId="77777777" w:rsidR="006F5978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  <w:proofErr w:type="spellEnd"/>
          </w:p>
        </w:tc>
        <w:tc>
          <w:tcPr>
            <w:tcW w:w="1150" w:type="dxa"/>
          </w:tcPr>
          <w:p w14:paraId="1CF2FD07" w14:textId="77777777" w:rsidR="006F5978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0E1BFA6" w14:textId="77777777" w:rsidR="006F5978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  <w:proofErr w:type="spellEnd"/>
          </w:p>
        </w:tc>
      </w:tr>
      <w:tr w:rsidR="006F5978" w14:paraId="2DE65F84" w14:textId="77777777">
        <w:trPr>
          <w:trHeight w:val="556"/>
        </w:trPr>
        <w:tc>
          <w:tcPr>
            <w:tcW w:w="1555" w:type="dxa"/>
          </w:tcPr>
          <w:p w14:paraId="1B96DDC8" w14:textId="1C1D1002" w:rsidR="006F5978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</w:t>
            </w:r>
            <w:r w:rsidR="008F1DA0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3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05C70DF0" w14:textId="77777777" w:rsidR="006F5978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  <w:proofErr w:type="spellEnd"/>
          </w:p>
        </w:tc>
        <w:tc>
          <w:tcPr>
            <w:tcW w:w="2289" w:type="dxa"/>
          </w:tcPr>
          <w:p w14:paraId="406E6038" w14:textId="77777777" w:rsidR="006F5978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  <w:proofErr w:type="spellEnd"/>
          </w:p>
        </w:tc>
        <w:tc>
          <w:tcPr>
            <w:tcW w:w="1148" w:type="dxa"/>
          </w:tcPr>
          <w:p w14:paraId="656E0860" w14:textId="77777777" w:rsidR="006F5978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49444861" w14:textId="77777777" w:rsidR="006F5978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0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5B999498" w14:textId="77777777" w:rsidR="006F5978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  <w:proofErr w:type="gramEnd"/>
          </w:p>
        </w:tc>
      </w:tr>
      <w:tr w:rsidR="006F5978" w14:paraId="79A1D390" w14:textId="77777777">
        <w:trPr>
          <w:trHeight w:val="556"/>
        </w:trPr>
        <w:tc>
          <w:tcPr>
            <w:tcW w:w="1555" w:type="dxa"/>
          </w:tcPr>
          <w:p w14:paraId="79EB0BB0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92C5CBE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5EEBDF7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2FA7782" w14:textId="77777777" w:rsidR="006F5978" w:rsidRDefault="006F597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DC79AB5" w14:textId="77777777" w:rsidR="006F5978" w:rsidRDefault="006F597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D86DB8F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6F5978" w14:paraId="37DBF9AC" w14:textId="77777777">
        <w:trPr>
          <w:trHeight w:val="556"/>
        </w:trPr>
        <w:tc>
          <w:tcPr>
            <w:tcW w:w="1555" w:type="dxa"/>
          </w:tcPr>
          <w:p w14:paraId="503E3A9D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E5B8A40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8D3A4B3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A622CCA" w14:textId="77777777" w:rsidR="006F5978" w:rsidRDefault="006F5978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35CF8FA" w14:textId="77777777" w:rsidR="006F5978" w:rsidRDefault="006F5978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0C8867B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6F5978" w14:paraId="59A11F2B" w14:textId="77777777">
        <w:trPr>
          <w:trHeight w:val="557"/>
        </w:trPr>
        <w:tc>
          <w:tcPr>
            <w:tcW w:w="1555" w:type="dxa"/>
          </w:tcPr>
          <w:p w14:paraId="0D05FEEC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A11697E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908E4BC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53BD197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2E49122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5A081D1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6F5978" w14:paraId="5729597E" w14:textId="77777777">
        <w:trPr>
          <w:trHeight w:val="556"/>
        </w:trPr>
        <w:tc>
          <w:tcPr>
            <w:tcW w:w="1555" w:type="dxa"/>
          </w:tcPr>
          <w:p w14:paraId="15359236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336D013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8D9340F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FAEDE0B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289277B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2BC9192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6F5978" w14:paraId="7528305E" w14:textId="77777777">
        <w:trPr>
          <w:trHeight w:val="561"/>
        </w:trPr>
        <w:tc>
          <w:tcPr>
            <w:tcW w:w="1555" w:type="dxa"/>
          </w:tcPr>
          <w:p w14:paraId="685B0D3D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817CE88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45AE411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DEC1D8A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6362E44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799DFB6" w14:textId="77777777" w:rsidR="006F5978" w:rsidRDefault="006F5978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21D46B87" w14:textId="77777777" w:rsidR="006F5978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Content>
        <w:p w14:paraId="6D2DEABD" w14:textId="77777777" w:rsidR="006F5978" w:rsidRDefault="00000000">
          <w:pPr>
            <w:spacing w:line="240" w:lineRule="auto"/>
            <w:jc w:val="center"/>
          </w:pPr>
          <w:proofErr w:type="spellStart"/>
          <w:r>
            <w:rPr>
              <w:rFonts w:ascii="宋体" w:hAnsi="宋体"/>
            </w:rPr>
            <w:t>目录</w:t>
          </w:r>
          <w:proofErr w:type="spellEnd"/>
        </w:p>
        <w:p w14:paraId="1593468E" w14:textId="77777777" w:rsidR="006F5978" w:rsidRDefault="00000000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1623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_Toc1623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E066CA8" w14:textId="77777777" w:rsidR="006F5978" w:rsidRDefault="00000000">
          <w:pPr>
            <w:pStyle w:val="TOC1"/>
            <w:tabs>
              <w:tab w:val="right" w:leader="dot" w:pos="8306"/>
            </w:tabs>
          </w:pPr>
          <w:hyperlink w:anchor="_Toc32476" w:history="1">
            <w:r>
              <w:t>烟台林海嵎峡田综合体智慧农业大数据平台建设项目</w:t>
            </w:r>
            <w:r>
              <w:rPr>
                <w:rFonts w:hint="eastAsia"/>
                <w:lang w:eastAsia="zh-CN"/>
              </w:rPr>
              <w:t>信息安全管理报告</w:t>
            </w:r>
            <w:r>
              <w:tab/>
            </w:r>
            <w:r>
              <w:fldChar w:fldCharType="begin"/>
            </w:r>
            <w:r>
              <w:instrText xml:space="preserve"> PAGEREF _Toc32476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7835646" w14:textId="77777777" w:rsidR="006F5978" w:rsidRDefault="00000000">
          <w:pPr>
            <w:pStyle w:val="TOC1"/>
            <w:tabs>
              <w:tab w:val="right" w:leader="dot" w:pos="8306"/>
            </w:tabs>
          </w:pPr>
          <w:hyperlink w:anchor="_Toc18416" w:history="1"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报告摘要</w:t>
            </w:r>
            <w:r>
              <w:tab/>
            </w:r>
            <w:r>
              <w:fldChar w:fldCharType="begin"/>
            </w:r>
            <w:r>
              <w:instrText xml:space="preserve"> PAGEREF _Toc18416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491B530" w14:textId="77777777" w:rsidR="006F5978" w:rsidRDefault="00000000">
          <w:pPr>
            <w:pStyle w:val="TOC1"/>
            <w:tabs>
              <w:tab w:val="right" w:leader="dot" w:pos="8306"/>
            </w:tabs>
          </w:pPr>
          <w:hyperlink w:anchor="_Toc21112" w:history="1"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安全治理与组织效能</w:t>
            </w:r>
            <w:r>
              <w:tab/>
            </w:r>
            <w:r>
              <w:fldChar w:fldCharType="begin"/>
            </w:r>
            <w:r>
              <w:instrText xml:space="preserve"> PAGEREF _Toc21112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4E0D2A5" w14:textId="77777777" w:rsidR="006F5978" w:rsidRDefault="00000000">
          <w:pPr>
            <w:pStyle w:val="TOC1"/>
            <w:tabs>
              <w:tab w:val="right" w:leader="dot" w:pos="8306"/>
            </w:tabs>
          </w:pPr>
          <w:hyperlink w:anchor="_Toc18561" w:history="1"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各领域安全措施实施成果</w:t>
            </w:r>
            <w:r>
              <w:tab/>
            </w:r>
            <w:r>
              <w:fldChar w:fldCharType="begin"/>
            </w:r>
            <w:r>
              <w:instrText xml:space="preserve"> PAGEREF _Toc18561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FFDE679" w14:textId="77777777" w:rsidR="006F5978" w:rsidRDefault="00000000">
          <w:pPr>
            <w:pStyle w:val="TOC2"/>
            <w:tabs>
              <w:tab w:val="right" w:leader="dot" w:pos="8306"/>
            </w:tabs>
          </w:pPr>
          <w:hyperlink w:anchor="_Toc4275" w:history="1">
            <w:r>
              <w:rPr>
                <w:lang w:eastAsia="zh-CN"/>
              </w:rPr>
              <w:t xml:space="preserve">3.1. </w:t>
            </w:r>
            <w:r>
              <w:rPr>
                <w:lang w:eastAsia="zh-CN"/>
              </w:rPr>
              <w:t>物理与环境安全</w:t>
            </w:r>
            <w:r>
              <w:tab/>
            </w:r>
            <w:r>
              <w:fldChar w:fldCharType="begin"/>
            </w:r>
            <w:r>
              <w:instrText xml:space="preserve"> PAGEREF _Toc4275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A7F8453" w14:textId="77777777" w:rsidR="006F5978" w:rsidRDefault="00000000">
          <w:pPr>
            <w:pStyle w:val="TOC2"/>
            <w:tabs>
              <w:tab w:val="right" w:leader="dot" w:pos="8306"/>
            </w:tabs>
          </w:pPr>
          <w:hyperlink w:anchor="_Toc14248" w:history="1">
            <w:r>
              <w:rPr>
                <w:lang w:eastAsia="zh-CN"/>
              </w:rPr>
              <w:t xml:space="preserve">3.2. </w:t>
            </w:r>
            <w:r>
              <w:rPr>
                <w:lang w:eastAsia="zh-CN"/>
              </w:rPr>
              <w:t>网络安全</w:t>
            </w:r>
            <w:r>
              <w:tab/>
            </w:r>
            <w:r>
              <w:fldChar w:fldCharType="begin"/>
            </w:r>
            <w:r>
              <w:instrText xml:space="preserve"> PAGEREF _Toc14248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9045238" w14:textId="77777777" w:rsidR="006F5978" w:rsidRDefault="00000000">
          <w:pPr>
            <w:pStyle w:val="TOC2"/>
            <w:tabs>
              <w:tab w:val="right" w:leader="dot" w:pos="8306"/>
            </w:tabs>
          </w:pPr>
          <w:hyperlink w:anchor="_Toc2270" w:history="1">
            <w:r>
              <w:rPr>
                <w:lang w:eastAsia="zh-CN"/>
              </w:rPr>
              <w:t xml:space="preserve">3.3. </w:t>
            </w:r>
            <w:r>
              <w:rPr>
                <w:lang w:eastAsia="zh-CN"/>
              </w:rPr>
              <w:t>系统与应用安全</w:t>
            </w:r>
            <w:r>
              <w:tab/>
            </w:r>
            <w:r>
              <w:fldChar w:fldCharType="begin"/>
            </w:r>
            <w:r>
              <w:instrText xml:space="preserve"> PAGEREF _Toc2270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5D32806" w14:textId="77777777" w:rsidR="006F5978" w:rsidRDefault="00000000">
          <w:pPr>
            <w:pStyle w:val="TOC2"/>
            <w:tabs>
              <w:tab w:val="right" w:leader="dot" w:pos="8306"/>
            </w:tabs>
          </w:pPr>
          <w:hyperlink w:anchor="_Toc13553" w:history="1">
            <w:r>
              <w:rPr>
                <w:lang w:eastAsia="zh-CN"/>
              </w:rPr>
              <w:t xml:space="preserve">3.4. </w:t>
            </w:r>
            <w:r>
              <w:rPr>
                <w:lang w:eastAsia="zh-CN"/>
              </w:rPr>
              <w:t>数据安全</w:t>
            </w:r>
            <w:r>
              <w:tab/>
            </w:r>
            <w:r>
              <w:fldChar w:fldCharType="begin"/>
            </w:r>
            <w:r>
              <w:instrText xml:space="preserve"> PAGEREF _Toc13553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0B36DC8" w14:textId="77777777" w:rsidR="006F5978" w:rsidRDefault="00000000">
          <w:pPr>
            <w:pStyle w:val="TOC2"/>
            <w:tabs>
              <w:tab w:val="right" w:leader="dot" w:pos="8306"/>
            </w:tabs>
          </w:pPr>
          <w:hyperlink w:anchor="_Toc15305" w:history="1">
            <w:r>
              <w:rPr>
                <w:lang w:eastAsia="zh-CN"/>
              </w:rPr>
              <w:t xml:space="preserve">3.5. </w:t>
            </w:r>
            <w:r>
              <w:rPr>
                <w:lang w:eastAsia="zh-CN"/>
              </w:rPr>
              <w:t>供应链与知识产权安全</w:t>
            </w:r>
            <w:r>
              <w:tab/>
            </w:r>
            <w:r>
              <w:fldChar w:fldCharType="begin"/>
            </w:r>
            <w:r>
              <w:instrText xml:space="preserve"> PAGEREF _Toc15305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E87784F" w14:textId="77777777" w:rsidR="006F5978" w:rsidRDefault="00000000">
          <w:pPr>
            <w:pStyle w:val="TOC1"/>
            <w:tabs>
              <w:tab w:val="right" w:leader="dot" w:pos="8306"/>
            </w:tabs>
          </w:pPr>
          <w:hyperlink w:anchor="_Toc1915" w:history="1"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风险评估与动态管理</w:t>
            </w:r>
            <w:r>
              <w:tab/>
            </w:r>
            <w:r>
              <w:fldChar w:fldCharType="begin"/>
            </w:r>
            <w:r>
              <w:instrText xml:space="preserve"> PAGEREF _Toc1915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E1F42D9" w14:textId="77777777" w:rsidR="006F5978" w:rsidRDefault="00000000">
          <w:pPr>
            <w:pStyle w:val="TOC1"/>
            <w:tabs>
              <w:tab w:val="right" w:leader="dot" w:pos="8306"/>
            </w:tabs>
          </w:pPr>
          <w:hyperlink w:anchor="_Toc16229" w:history="1">
            <w:r>
              <w:rPr>
                <w:lang w:eastAsia="zh-CN"/>
              </w:rPr>
              <w:t xml:space="preserve">5. </w:t>
            </w:r>
            <w:r>
              <w:rPr>
                <w:lang w:eastAsia="zh-CN"/>
              </w:rPr>
              <w:t>安全事件与应急响应</w:t>
            </w:r>
            <w:r>
              <w:tab/>
            </w:r>
            <w:r>
              <w:fldChar w:fldCharType="begin"/>
            </w:r>
            <w:r>
              <w:instrText xml:space="preserve"> PAGEREF _Toc16229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05431A2" w14:textId="77777777" w:rsidR="006F5978" w:rsidRDefault="00000000">
          <w:pPr>
            <w:pStyle w:val="TOC1"/>
            <w:tabs>
              <w:tab w:val="right" w:leader="dot" w:pos="8306"/>
            </w:tabs>
          </w:pPr>
          <w:hyperlink w:anchor="_Toc21402" w:history="1">
            <w:r>
              <w:rPr>
                <w:lang w:eastAsia="zh-CN"/>
              </w:rPr>
              <w:t xml:space="preserve">6. </w:t>
            </w:r>
            <w:r>
              <w:rPr>
                <w:lang w:eastAsia="zh-CN"/>
              </w:rPr>
              <w:t>符合性审计与验收准备</w:t>
            </w:r>
            <w:r>
              <w:tab/>
            </w:r>
            <w:r>
              <w:fldChar w:fldCharType="begin"/>
            </w:r>
            <w:r>
              <w:instrText xml:space="preserve"> PAGEREF _Toc21402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900F389" w14:textId="77777777" w:rsidR="006F5978" w:rsidRDefault="00000000">
          <w:pPr>
            <w:pStyle w:val="TOC1"/>
            <w:tabs>
              <w:tab w:val="right" w:leader="dot" w:pos="8306"/>
            </w:tabs>
          </w:pPr>
          <w:hyperlink w:anchor="_Toc31821" w:history="1">
            <w:r>
              <w:rPr>
                <w:lang w:eastAsia="zh-CN"/>
              </w:rPr>
              <w:t xml:space="preserve">7. </w:t>
            </w:r>
            <w:r>
              <w:rPr>
                <w:lang w:eastAsia="zh-CN"/>
              </w:rPr>
              <w:t>总结与运维期安全过渡计划</w:t>
            </w:r>
            <w:r>
              <w:tab/>
            </w:r>
            <w:r>
              <w:fldChar w:fldCharType="begin"/>
            </w:r>
            <w:r>
              <w:instrText xml:space="preserve"> PAGEREF _Toc31821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48BA6E3" w14:textId="77777777" w:rsidR="006F5978" w:rsidRDefault="00000000">
          <w:pPr>
            <w:pStyle w:val="TOC2"/>
            <w:tabs>
              <w:tab w:val="right" w:leader="dot" w:pos="8306"/>
            </w:tabs>
          </w:pPr>
          <w:hyperlink w:anchor="_Toc18093" w:history="1">
            <w:r>
              <w:rPr>
                <w:lang w:eastAsia="zh-CN"/>
              </w:rPr>
              <w:t xml:space="preserve">7.1. </w:t>
            </w:r>
            <w:r>
              <w:rPr>
                <w:lang w:eastAsia="zh-CN"/>
              </w:rPr>
              <w:t>总体评价</w:t>
            </w:r>
            <w:r>
              <w:tab/>
            </w:r>
            <w:r>
              <w:fldChar w:fldCharType="begin"/>
            </w:r>
            <w:r>
              <w:instrText xml:space="preserve"> PAGEREF _Toc18093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C8E1D52" w14:textId="77777777" w:rsidR="006F5978" w:rsidRDefault="00000000">
          <w:pPr>
            <w:pStyle w:val="TOC2"/>
            <w:tabs>
              <w:tab w:val="right" w:leader="dot" w:pos="8306"/>
            </w:tabs>
          </w:pPr>
          <w:hyperlink w:anchor="_Toc31955" w:history="1">
            <w:r>
              <w:rPr>
                <w:lang w:eastAsia="zh-CN"/>
              </w:rPr>
              <w:t xml:space="preserve">7.2. </w:t>
            </w:r>
            <w:r>
              <w:rPr>
                <w:lang w:eastAsia="zh-CN"/>
              </w:rPr>
              <w:t>后续重点工作（运维服务期）：</w:t>
            </w:r>
            <w:r>
              <w:tab/>
            </w:r>
            <w:r>
              <w:fldChar w:fldCharType="begin"/>
            </w:r>
            <w:r>
              <w:instrText xml:space="preserve"> PAGEREF _Toc31955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30797E0" w14:textId="77777777" w:rsidR="006F5978" w:rsidRDefault="00000000">
          <w:r>
            <w:fldChar w:fldCharType="end"/>
          </w:r>
        </w:p>
      </w:sdtContent>
    </w:sdt>
    <w:p w14:paraId="255A31FC" w14:textId="77777777" w:rsidR="006F5978" w:rsidRDefault="006F5978"/>
    <w:p w14:paraId="103C6093" w14:textId="77777777" w:rsidR="006F5978" w:rsidRDefault="00000000">
      <w:pPr>
        <w:widowControl w:val="0"/>
        <w:rPr>
          <w:lang w:eastAsia="zh-CN"/>
        </w:rPr>
      </w:pPr>
      <w:r>
        <w:rPr>
          <w:rFonts w:eastAsia="Arial"/>
        </w:rPr>
        <w:br w:type="page"/>
      </w:r>
    </w:p>
    <w:p w14:paraId="77519A93" w14:textId="77777777" w:rsidR="006F5978" w:rsidRDefault="00000000">
      <w:pPr>
        <w:pStyle w:val="10"/>
        <w:rPr>
          <w:lang w:eastAsia="zh-CN"/>
        </w:rPr>
      </w:pPr>
      <w:bookmarkStart w:id="3" w:name="bookmark14"/>
      <w:bookmarkStart w:id="4" w:name="_Toc18416"/>
      <w:bookmarkEnd w:id="3"/>
      <w:r>
        <w:rPr>
          <w:lang w:eastAsia="zh-CN"/>
        </w:rPr>
        <w:lastRenderedPageBreak/>
        <w:t>报告摘要</w:t>
      </w:r>
      <w:bookmarkEnd w:id="4"/>
    </w:p>
    <w:p w14:paraId="10A3FBEE" w14:textId="77777777" w:rsidR="006F5978" w:rsidRDefault="00000000">
      <w:pPr>
        <w:pStyle w:val="ad"/>
        <w:ind w:firstLine="480"/>
      </w:pPr>
      <w:r>
        <w:t>本报告全面总结</w:t>
      </w:r>
      <w:r>
        <w:t>“</w:t>
      </w:r>
      <w:r>
        <w:t>烟台林海</w:t>
      </w:r>
      <w:proofErr w:type="gramStart"/>
      <w:r>
        <w:t>嵎峡田综合体</w:t>
      </w:r>
      <w:proofErr w:type="gramEnd"/>
      <w:r>
        <w:t>智慧农业大数据平台建设项目</w:t>
      </w:r>
      <w:r>
        <w:t>”</w:t>
      </w:r>
      <w:r>
        <w:t>自</w:t>
      </w:r>
      <w:r>
        <w:t>2025</w:t>
      </w:r>
      <w:r>
        <w:t>年</w:t>
      </w:r>
      <w:r>
        <w:t>2</w:t>
      </w:r>
      <w:r>
        <w:t>月启动至</w:t>
      </w:r>
      <w:r>
        <w:t>2025</w:t>
      </w:r>
      <w:r>
        <w:t>年</w:t>
      </w:r>
      <w:r>
        <w:t>10</w:t>
      </w:r>
      <w:r>
        <w:t>月底，为期九个月的信息安全管理工作。项目组严格遵循既定《信息安全管理计划》及合同相关条款，系统性地构建并持续优化了项目信息安全体系。截至报告期末，项目已顺利完成系统部署、集成测试及初步试运行，所有关键安全控制措施均已落地并验证有效，未发生任何重大信息安全事件，全面满足项目验收的安全前提条件，并为即将开始的三年运维服务期奠定了坚实的</w:t>
      </w:r>
      <w:proofErr w:type="gramStart"/>
      <w:r>
        <w:t>安全运</w:t>
      </w:r>
      <w:proofErr w:type="gramEnd"/>
      <w:r>
        <w:t>维基础。</w:t>
      </w:r>
    </w:p>
    <w:p w14:paraId="7E049D1E" w14:textId="77777777" w:rsidR="006F5978" w:rsidRDefault="00000000">
      <w:pPr>
        <w:pStyle w:val="10"/>
        <w:rPr>
          <w:lang w:eastAsia="zh-CN"/>
        </w:rPr>
      </w:pPr>
      <w:bookmarkStart w:id="5" w:name="_Toc21112"/>
      <w:r>
        <w:rPr>
          <w:lang w:eastAsia="zh-CN"/>
        </w:rPr>
        <w:t>安全治理与组织效能</w:t>
      </w:r>
      <w:bookmarkEnd w:id="5"/>
    </w:p>
    <w:p w14:paraId="120C88EE" w14:textId="77777777" w:rsidR="006F5978" w:rsidRDefault="00000000">
      <w:pPr>
        <w:pStyle w:val="ad"/>
        <w:ind w:firstLine="480"/>
      </w:pPr>
      <w:r>
        <w:t>项目建立了高效、权责清晰的安全管理组织，并随项目阶段动态调整重心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7481"/>
      </w:tblGrid>
      <w:tr w:rsidR="006F5978" w14:paraId="61027A1E" w14:textId="77777777">
        <w:trPr>
          <w:tblHeader/>
        </w:trPr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EDBDD9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角色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8E7D4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履行情况总结（截至10月）</w:t>
            </w:r>
          </w:p>
        </w:tc>
      </w:tr>
      <w:tr w:rsidR="006F5978" w14:paraId="65D43A4B" w14:textId="77777777"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13C364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 w:hint="eastAsia"/>
                <w:bCs/>
                <w:sz w:val="18"/>
                <w:szCs w:val="18"/>
                <w:lang w:eastAsia="zh-CN"/>
              </w:rPr>
              <w:t>运</w:t>
            </w:r>
            <w:proofErr w:type="gramStart"/>
            <w:r>
              <w:rPr>
                <w:rStyle w:val="aa"/>
                <w:rFonts w:ascii="Segoe UI" w:eastAsia="Segoe UI" w:hAnsi="Segoe UI" w:cs="Segoe UI" w:hint="eastAsia"/>
                <w:bCs/>
                <w:sz w:val="18"/>
                <w:szCs w:val="18"/>
                <w:lang w:eastAsia="zh-CN"/>
              </w:rPr>
              <w:t>维项目</w:t>
            </w:r>
            <w:proofErr w:type="gramEnd"/>
            <w:r>
              <w:rPr>
                <w:rStyle w:val="aa"/>
                <w:rFonts w:ascii="Segoe UI" w:eastAsia="Segoe UI" w:hAnsi="Segoe UI" w:cs="Segoe UI" w:hint="eastAsia"/>
                <w:bCs/>
                <w:sz w:val="18"/>
                <w:szCs w:val="18"/>
                <w:lang w:eastAsia="zh-CN"/>
              </w:rPr>
              <w:t>经理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3B9BCA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全程主持安全战略，组织召开季度安全评审会2次，月度安全检查8次，成功协调处理所有跨部门安全问题，确保安全与项目进度同步。</w:t>
            </w:r>
          </w:p>
        </w:tc>
      </w:tr>
      <w:tr w:rsidR="006F5978" w14:paraId="60D5CE32" w14:textId="77777777"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CD4C01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 w:hint="eastAsia"/>
                <w:bCs/>
                <w:sz w:val="18"/>
                <w:szCs w:val="18"/>
                <w:lang w:eastAsia="zh-CN"/>
              </w:rPr>
              <w:t>运维工程师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E98665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完成了从架构设计、实施加固到最终渗透测试的全周期技术安全保障。累计输出安全配置文档12份，漏洞修复报告5份，是技术防线的核心力量。</w:t>
            </w:r>
          </w:p>
        </w:tc>
      </w:tr>
      <w:tr w:rsidR="006F5978" w14:paraId="25D75AAA" w14:textId="77777777"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543799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现场实施</w:t>
            </w:r>
            <w:r>
              <w:rPr>
                <w:rStyle w:val="aa"/>
                <w:rFonts w:ascii="Segoe UI" w:eastAsia="Segoe UI" w:hAnsi="Segoe UI" w:cs="Segoe UI" w:hint="eastAsia"/>
                <w:bCs/>
                <w:sz w:val="18"/>
                <w:szCs w:val="18"/>
                <w:lang w:eastAsia="zh-CN"/>
              </w:rPr>
              <w:t>人员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E59D7C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在设备安装、线缆铺设、机房建设等高峰期（3-7月），严格落实物理安全管控，实现了施工期间“零物理安全事故、零设备遗失”的目标。</w:t>
            </w:r>
          </w:p>
        </w:tc>
      </w:tr>
      <w:tr w:rsidR="006F5978" w14:paraId="56E2BBF4" w14:textId="77777777"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E0393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甲方安全对接人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9BF3C0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深度参与了安全方案评审、中期安全检查（5月）及验收前安全审计（10月），提供了关键的业务安全需求输入，协作顺畅。</w:t>
            </w:r>
          </w:p>
        </w:tc>
      </w:tr>
      <w:tr w:rsidR="006F5978" w14:paraId="1C503D64" w14:textId="77777777"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16A1D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全体项目成员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60C41B" w14:textId="77777777" w:rsidR="006F5978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安全意识已融入日常工作习惯，累计开展专项安全培训3次，保密协议签署率与考核通过率均达100%。</w:t>
            </w:r>
          </w:p>
        </w:tc>
      </w:tr>
    </w:tbl>
    <w:p w14:paraId="4D4FE94A" w14:textId="77777777" w:rsidR="006F5978" w:rsidRDefault="00000000">
      <w:pPr>
        <w:pStyle w:val="10"/>
        <w:rPr>
          <w:lang w:eastAsia="zh-CN"/>
        </w:rPr>
      </w:pPr>
      <w:bookmarkStart w:id="6" w:name="_Toc18561"/>
      <w:r>
        <w:rPr>
          <w:lang w:eastAsia="zh-CN"/>
        </w:rPr>
        <w:t>各领域安全措施实施成果</w:t>
      </w:r>
      <w:bookmarkEnd w:id="6"/>
    </w:p>
    <w:p w14:paraId="0DB58C0F" w14:textId="77777777" w:rsidR="006F5978" w:rsidRDefault="00000000">
      <w:pPr>
        <w:pStyle w:val="20"/>
        <w:rPr>
          <w:lang w:eastAsia="zh-CN"/>
        </w:rPr>
      </w:pPr>
      <w:bookmarkStart w:id="7" w:name="_Toc4275"/>
      <w:r>
        <w:rPr>
          <w:lang w:eastAsia="zh-CN"/>
        </w:rPr>
        <w:t>物理与环境安全</w:t>
      </w:r>
      <w:bookmarkEnd w:id="7"/>
    </w:p>
    <w:p w14:paraId="08CADC91" w14:textId="77777777" w:rsidR="006F5978" w:rsidRDefault="00000000">
      <w:pPr>
        <w:pStyle w:val="ad"/>
        <w:ind w:firstLine="480"/>
      </w:pPr>
      <w:r>
        <w:t>资产全流程可控：对合同清单中所有硬件设备建立了完整的</w:t>
      </w:r>
      <w:proofErr w:type="gramStart"/>
      <w:r>
        <w:t>资产台</w:t>
      </w:r>
      <w:proofErr w:type="gramEnd"/>
      <w:r>
        <w:t>账，实现了从入库、领用、安装到最终位置的全程跟踪。</w:t>
      </w:r>
    </w:p>
    <w:p w14:paraId="697C543B" w14:textId="77777777" w:rsidR="006F5978" w:rsidRDefault="00000000">
      <w:pPr>
        <w:pStyle w:val="ad"/>
        <w:ind w:firstLine="480"/>
      </w:pPr>
      <w:r>
        <w:lastRenderedPageBreak/>
        <w:t>核心区域安全就绪：</w:t>
      </w:r>
      <w:r>
        <w:t xml:space="preserve"> </w:t>
      </w:r>
      <w:r>
        <w:t>数据中心、网络机房及主要设备间已按照设计完成标准化建设，配备了永久的门禁、监控、消防及环境控制系统，符合国家相关标准。</w:t>
      </w:r>
    </w:p>
    <w:p w14:paraId="61B8460E" w14:textId="77777777" w:rsidR="006F5978" w:rsidRDefault="00000000">
      <w:pPr>
        <w:pStyle w:val="20"/>
        <w:rPr>
          <w:lang w:eastAsia="zh-CN"/>
        </w:rPr>
      </w:pPr>
      <w:bookmarkStart w:id="8" w:name="_Toc14248"/>
      <w:r>
        <w:rPr>
          <w:lang w:eastAsia="zh-CN"/>
        </w:rPr>
        <w:t>网络安全</w:t>
      </w:r>
      <w:bookmarkEnd w:id="8"/>
    </w:p>
    <w:p w14:paraId="75647321" w14:textId="77777777" w:rsidR="006F5978" w:rsidRDefault="00000000">
      <w:pPr>
        <w:pStyle w:val="ad"/>
        <w:ind w:firstLine="480"/>
      </w:pPr>
      <w:r>
        <w:t>安全架构稳定运行：</w:t>
      </w:r>
      <w:r>
        <w:t xml:space="preserve"> </w:t>
      </w:r>
      <w:r>
        <w:t>基于</w:t>
      </w:r>
      <w:r>
        <w:t>VLAN</w:t>
      </w:r>
      <w:r>
        <w:t>、防火墙策略及访问控制列表构建的</w:t>
      </w:r>
      <w:r>
        <w:t>“</w:t>
      </w:r>
      <w:r>
        <w:t>分区隔离、纵深防御</w:t>
      </w:r>
      <w:r>
        <w:t>”</w:t>
      </w:r>
      <w:r>
        <w:t>网络架构已稳定运行超过四个月。关键网络设备配置均已备份并归档。</w:t>
      </w:r>
    </w:p>
    <w:p w14:paraId="29A1B658" w14:textId="77777777" w:rsidR="006F5978" w:rsidRDefault="00000000">
      <w:pPr>
        <w:pStyle w:val="ad"/>
        <w:ind w:firstLine="480"/>
      </w:pPr>
      <w:r>
        <w:t>高级威胁防护引入：</w:t>
      </w:r>
      <w:r>
        <w:t xml:space="preserve"> </w:t>
      </w:r>
      <w:r>
        <w:t>在试运行阶段，于网络边界部署了入侵防御系统（</w:t>
      </w:r>
      <w:r>
        <w:t>IPS</w:t>
      </w:r>
      <w:r>
        <w:t>），并对核心交换机的安全策略进行了优化，增强了对新型网络攻击的检测与防御能力。</w:t>
      </w:r>
    </w:p>
    <w:p w14:paraId="3BDD2376" w14:textId="77777777" w:rsidR="006F5978" w:rsidRDefault="00000000">
      <w:pPr>
        <w:pStyle w:val="20"/>
        <w:rPr>
          <w:lang w:eastAsia="zh-CN"/>
        </w:rPr>
      </w:pPr>
      <w:bookmarkStart w:id="9" w:name="_Toc2270"/>
      <w:r>
        <w:rPr>
          <w:lang w:eastAsia="zh-CN"/>
        </w:rPr>
        <w:t>系统与应用安全</w:t>
      </w:r>
      <w:bookmarkEnd w:id="9"/>
    </w:p>
    <w:p w14:paraId="2DA64960" w14:textId="77777777" w:rsidR="006F5978" w:rsidRDefault="00000000">
      <w:pPr>
        <w:pStyle w:val="ad"/>
        <w:ind w:firstLine="480"/>
      </w:pPr>
      <w:r>
        <w:t>安全基线全面固化：</w:t>
      </w:r>
      <w:r>
        <w:t xml:space="preserve"> </w:t>
      </w:r>
      <w:r>
        <w:t>所有服务器（含图形处理主机、视频会议主机）、操作系统、数据库及业务应用（智慧农业平台、视频监控平台、</w:t>
      </w:r>
      <w:r>
        <w:t>LED</w:t>
      </w:r>
      <w:r>
        <w:t>显示控制系统等）均已完成安全加固，并形成标准化配置手册。</w:t>
      </w:r>
    </w:p>
    <w:p w14:paraId="5F59A3BE" w14:textId="77777777" w:rsidR="006F5978" w:rsidRDefault="00000000">
      <w:pPr>
        <w:pStyle w:val="ad"/>
        <w:ind w:firstLine="480"/>
      </w:pPr>
      <w:r>
        <w:t>深度安全测试通过：于</w:t>
      </w:r>
      <w:r>
        <w:t>2025</w:t>
      </w:r>
      <w:r>
        <w:t>年</w:t>
      </w:r>
      <w:r>
        <w:t>9</w:t>
      </w:r>
      <w:r>
        <w:t>月委托第三方独立机构进行了渗透测试与源代码安全审计（针对定制开发部分）。发现的</w:t>
      </w:r>
      <w:r>
        <w:rPr>
          <w:rFonts w:hint="eastAsia"/>
        </w:rPr>
        <w:t>1</w:t>
      </w:r>
      <w:r>
        <w:t>个中低风险漏洞均在</w:t>
      </w:r>
      <w:r>
        <w:t>10</w:t>
      </w:r>
      <w:r>
        <w:t>月中旬前完成修复，并提交了详细的《安全测试与修复报告》，满足合同及验收要求。</w:t>
      </w:r>
    </w:p>
    <w:p w14:paraId="0CEB8EE3" w14:textId="77777777" w:rsidR="006F5978" w:rsidRDefault="00000000">
      <w:pPr>
        <w:pStyle w:val="20"/>
        <w:rPr>
          <w:lang w:eastAsia="zh-CN"/>
        </w:rPr>
      </w:pPr>
      <w:bookmarkStart w:id="10" w:name="_Toc13553"/>
      <w:r>
        <w:rPr>
          <w:lang w:eastAsia="zh-CN"/>
        </w:rPr>
        <w:t>数据安全</w:t>
      </w:r>
      <w:bookmarkEnd w:id="10"/>
    </w:p>
    <w:p w14:paraId="43D54C4B" w14:textId="77777777" w:rsidR="006F5978" w:rsidRDefault="00000000">
      <w:pPr>
        <w:pStyle w:val="ad"/>
        <w:ind w:firstLine="480"/>
      </w:pPr>
      <w:r>
        <w:t>数据治理框架建立：</w:t>
      </w:r>
      <w:r>
        <w:t xml:space="preserve"> </w:t>
      </w:r>
      <w:r>
        <w:t>与甲方共同完成了项目数据资产的分类分级，明确了</w:t>
      </w:r>
      <w:r>
        <w:t>“</w:t>
      </w:r>
      <w:r>
        <w:t>农业生产数据</w:t>
      </w:r>
      <w:r>
        <w:t>”</w:t>
      </w:r>
      <w:r>
        <w:t>、</w:t>
      </w:r>
      <w:r>
        <w:t>“</w:t>
      </w:r>
      <w:r>
        <w:t>视频人脸数据</w:t>
      </w:r>
      <w:r>
        <w:t>”</w:t>
      </w:r>
      <w:r>
        <w:t>等为敏感数据，并制定了相应的加密、脱敏和访问审批流程。</w:t>
      </w:r>
    </w:p>
    <w:p w14:paraId="68DCAB11" w14:textId="77777777" w:rsidR="006F5978" w:rsidRDefault="00000000">
      <w:pPr>
        <w:pStyle w:val="ad"/>
        <w:ind w:firstLine="480"/>
      </w:pPr>
      <w:r>
        <w:t>全生命周期保护落地：</w:t>
      </w:r>
      <w:r>
        <w:t xml:space="preserve"> </w:t>
      </w:r>
      <w:r>
        <w:t>敏感数据在传输（</w:t>
      </w:r>
      <w:r>
        <w:t>TLS</w:t>
      </w:r>
      <w:r>
        <w:t>）、存储（数据库加密）及备份（加密备份）环节均实现了加密保护。建立了完整的备份与恢复演练记录，</w:t>
      </w:r>
      <w:r>
        <w:t>RTO</w:t>
      </w:r>
      <w:r>
        <w:t>与</w:t>
      </w:r>
      <w:proofErr w:type="spellStart"/>
      <w:r>
        <w:t>RPO</w:t>
      </w:r>
      <w:proofErr w:type="spellEnd"/>
      <w:r>
        <w:t>目标得到验证。</w:t>
      </w:r>
    </w:p>
    <w:p w14:paraId="749B9280" w14:textId="77777777" w:rsidR="006F5978" w:rsidRDefault="00000000">
      <w:pPr>
        <w:pStyle w:val="20"/>
        <w:rPr>
          <w:lang w:eastAsia="zh-CN"/>
        </w:rPr>
      </w:pPr>
      <w:bookmarkStart w:id="11" w:name="_Toc15305"/>
      <w:r>
        <w:rPr>
          <w:lang w:eastAsia="zh-CN"/>
        </w:rPr>
        <w:lastRenderedPageBreak/>
        <w:t>供应链与知识产权安全</w:t>
      </w:r>
      <w:bookmarkEnd w:id="11"/>
    </w:p>
    <w:p w14:paraId="0F5024DA" w14:textId="77777777" w:rsidR="006F5978" w:rsidRDefault="00000000">
      <w:pPr>
        <w:pStyle w:val="ad"/>
        <w:ind w:firstLine="480"/>
      </w:pPr>
      <w:r>
        <w:t>合</w:t>
      </w:r>
      <w:proofErr w:type="gramStart"/>
      <w:r>
        <w:t>规</w:t>
      </w:r>
      <w:proofErr w:type="gramEnd"/>
      <w:r>
        <w:t>性保障：</w:t>
      </w:r>
      <w:r>
        <w:t xml:space="preserve"> </w:t>
      </w:r>
      <w:r>
        <w:t>确保所有采购的软硬件产品（如大华、</w:t>
      </w:r>
      <w:proofErr w:type="spellStart"/>
      <w:r>
        <w:t>H3C</w:t>
      </w:r>
      <w:proofErr w:type="spellEnd"/>
      <w:r>
        <w:t>、戴尔、华为等品牌）来源合法，提供了必要的授权证书与合</w:t>
      </w:r>
      <w:proofErr w:type="gramStart"/>
      <w:r>
        <w:t>规</w:t>
      </w:r>
      <w:proofErr w:type="gramEnd"/>
      <w:r>
        <w:t>证明，履行了合同第</w:t>
      </w:r>
      <w:r>
        <w:t>9</w:t>
      </w:r>
      <w:r>
        <w:t>条责任。</w:t>
      </w:r>
    </w:p>
    <w:p w14:paraId="10A2657D" w14:textId="77777777" w:rsidR="006F5978" w:rsidRDefault="00000000">
      <w:pPr>
        <w:pStyle w:val="ad"/>
        <w:ind w:firstLine="480"/>
      </w:pPr>
      <w:r>
        <w:t>知识产权明晰：</w:t>
      </w:r>
      <w:r>
        <w:t xml:space="preserve"> </w:t>
      </w:r>
      <w:r>
        <w:t>严格遵循合同</w:t>
      </w:r>
      <w:r>
        <w:rPr>
          <w:rFonts w:hint="eastAsia"/>
        </w:rPr>
        <w:t>规定</w:t>
      </w:r>
      <w:r>
        <w:t>，本项目产生的所有开发成果知识产权已按约定归属甲方。我方使用的自有或第三方知识产权均已披露，无潜在纠纷。</w:t>
      </w:r>
    </w:p>
    <w:p w14:paraId="411C18EB" w14:textId="77777777" w:rsidR="006F5978" w:rsidRDefault="00000000">
      <w:pPr>
        <w:pStyle w:val="10"/>
        <w:rPr>
          <w:lang w:eastAsia="zh-CN"/>
        </w:rPr>
      </w:pPr>
      <w:bookmarkStart w:id="12" w:name="_Toc1915"/>
      <w:r>
        <w:rPr>
          <w:lang w:eastAsia="zh-CN"/>
        </w:rPr>
        <w:t>风险评估与动态管理</w:t>
      </w:r>
      <w:bookmarkEnd w:id="12"/>
    </w:p>
    <w:p w14:paraId="6DF4C529" w14:textId="77777777" w:rsidR="006F5978" w:rsidRDefault="00000000">
      <w:pPr>
        <w:pStyle w:val="ad"/>
        <w:ind w:firstLine="480"/>
      </w:pPr>
      <w:r>
        <w:t>风险演进跟踪：</w:t>
      </w:r>
      <w:r>
        <w:t xml:space="preserve"> </w:t>
      </w:r>
      <w:r>
        <w:t>项目初期识别的</w:t>
      </w:r>
      <w:r>
        <w:t>5</w:t>
      </w:r>
      <w:r>
        <w:t>项高风险已全部通过工程与管理措施降至</w:t>
      </w:r>
      <w:r>
        <w:t>“</w:t>
      </w:r>
      <w:r>
        <w:t>低</w:t>
      </w:r>
      <w:r>
        <w:t>”</w:t>
      </w:r>
      <w:r>
        <w:t>或</w:t>
      </w:r>
      <w:r>
        <w:t>“</w:t>
      </w:r>
      <w:r>
        <w:t>可接受</w:t>
      </w:r>
      <w:r>
        <w:t>”</w:t>
      </w:r>
      <w:r>
        <w:t>级别。随着系统上线，新增了</w:t>
      </w:r>
      <w:r>
        <w:t>“</w:t>
      </w:r>
      <w:r>
        <w:t>业务逻辑漏洞</w:t>
      </w:r>
      <w:r>
        <w:t>”</w:t>
      </w:r>
      <w:r>
        <w:t>和</w:t>
      </w:r>
      <w:r>
        <w:t>“</w:t>
      </w:r>
      <w:r>
        <w:t>供应链软件漏洞</w:t>
      </w:r>
      <w:r>
        <w:t>”</w:t>
      </w:r>
      <w:r>
        <w:t>两项中风险，并已纳入常态化监控。</w:t>
      </w:r>
    </w:p>
    <w:p w14:paraId="623CB545" w14:textId="77777777" w:rsidR="006F5978" w:rsidRDefault="00000000">
      <w:pPr>
        <w:pStyle w:val="ad"/>
        <w:ind w:firstLine="480"/>
      </w:pPr>
      <w:r>
        <w:t>定期评估机制：</w:t>
      </w:r>
      <w:r>
        <w:t xml:space="preserve"> </w:t>
      </w:r>
      <w:r>
        <w:t>建立了季度风险评估机制，分别在</w:t>
      </w:r>
      <w:r>
        <w:t>4</w:t>
      </w:r>
      <w:r>
        <w:t>月、</w:t>
      </w:r>
      <w:r>
        <w:t>7</w:t>
      </w:r>
      <w:r>
        <w:t>月和</w:t>
      </w:r>
      <w:r>
        <w:t>10</w:t>
      </w:r>
      <w:r>
        <w:t>月进行了三次正式评估，确保风险管理与项目实际进展同步。</w:t>
      </w:r>
    </w:p>
    <w:p w14:paraId="4E03102D" w14:textId="77777777" w:rsidR="006F5978" w:rsidRDefault="00000000">
      <w:pPr>
        <w:pStyle w:val="10"/>
        <w:rPr>
          <w:lang w:eastAsia="zh-CN"/>
        </w:rPr>
      </w:pPr>
      <w:bookmarkStart w:id="13" w:name="_Toc16229"/>
      <w:r>
        <w:rPr>
          <w:lang w:eastAsia="zh-CN"/>
        </w:rPr>
        <w:t>安全事件与应急响应</w:t>
      </w:r>
      <w:bookmarkEnd w:id="13"/>
    </w:p>
    <w:p w14:paraId="66906EB4" w14:textId="77777777" w:rsidR="006F5978" w:rsidRDefault="00000000">
      <w:pPr>
        <w:pStyle w:val="ad"/>
        <w:ind w:firstLine="480"/>
      </w:pPr>
      <w:r>
        <w:t>报告期内，共记录并处置安全相关事件与告警</w:t>
      </w:r>
      <w:r>
        <w:t>15</w:t>
      </w:r>
      <w:r>
        <w:t>起，其中：</w:t>
      </w:r>
    </w:p>
    <w:p w14:paraId="4DF3DFDC" w14:textId="77777777" w:rsidR="006F5978" w:rsidRDefault="00000000">
      <w:pPr>
        <w:pStyle w:val="ad"/>
        <w:ind w:firstLine="480"/>
      </w:pPr>
      <w:r>
        <w:t>14</w:t>
      </w:r>
      <w:r>
        <w:t>起为网络扫描、误报等</w:t>
      </w:r>
      <w:proofErr w:type="gramStart"/>
      <w:r>
        <w:t>低威胁</w:t>
      </w:r>
      <w:proofErr w:type="gramEnd"/>
      <w:r>
        <w:t>事件，均通过自动化监控系统发现并处置。</w:t>
      </w:r>
    </w:p>
    <w:p w14:paraId="1FDFC70D" w14:textId="77777777" w:rsidR="006F5978" w:rsidRDefault="00000000">
      <w:pPr>
        <w:pStyle w:val="ad"/>
        <w:ind w:firstLine="480"/>
      </w:pPr>
      <w:r>
        <w:t>1</w:t>
      </w:r>
      <w:r>
        <w:t>起为试运行期间发生的可疑暴力破解攻击尝试，被</w:t>
      </w:r>
      <w:r>
        <w:t>IPS</w:t>
      </w:r>
      <w:r>
        <w:t>成功阻断，未造成影响。该事件触发了完整的应急响应流程，并进行了事后溯源分析，提升了系统账号策略强度。</w:t>
      </w:r>
    </w:p>
    <w:p w14:paraId="66E4062D" w14:textId="77777777" w:rsidR="006F5978" w:rsidRDefault="00000000">
      <w:pPr>
        <w:pStyle w:val="ad"/>
        <w:ind w:firstLine="480"/>
      </w:pPr>
      <w:r>
        <w:t>上述事件处理证实了项目安全监测与响应体系的有效性，并为运维期积累了宝贵经验。</w:t>
      </w:r>
    </w:p>
    <w:p w14:paraId="54CDDEFD" w14:textId="77777777" w:rsidR="006F5978" w:rsidRDefault="00000000">
      <w:pPr>
        <w:pStyle w:val="10"/>
        <w:rPr>
          <w:lang w:eastAsia="zh-CN"/>
        </w:rPr>
      </w:pPr>
      <w:bookmarkStart w:id="14" w:name="_Toc21402"/>
      <w:r>
        <w:rPr>
          <w:lang w:eastAsia="zh-CN"/>
        </w:rPr>
        <w:t>符合性审计与验收准备</w:t>
      </w:r>
      <w:bookmarkEnd w:id="14"/>
    </w:p>
    <w:p w14:paraId="78F0664D" w14:textId="77777777" w:rsidR="006F5978" w:rsidRDefault="00000000">
      <w:pPr>
        <w:pStyle w:val="ad"/>
        <w:ind w:firstLine="480"/>
      </w:pPr>
      <w:r>
        <w:t>内部审计：</w:t>
      </w:r>
      <w:r>
        <w:t xml:space="preserve"> </w:t>
      </w:r>
      <w:r>
        <w:t>严格执行月度检查，共发现并闭环整改问题</w:t>
      </w:r>
      <w:r>
        <w:t>32</w:t>
      </w:r>
      <w:r>
        <w:t>项，形成检查记录</w:t>
      </w:r>
      <w:r>
        <w:t>8</w:t>
      </w:r>
      <w:r>
        <w:t>份。</w:t>
      </w:r>
    </w:p>
    <w:p w14:paraId="3991825F" w14:textId="77777777" w:rsidR="006F5978" w:rsidRDefault="00000000">
      <w:pPr>
        <w:pStyle w:val="ad"/>
        <w:ind w:firstLine="480"/>
      </w:pPr>
      <w:r>
        <w:t>甲方协同审计：</w:t>
      </w:r>
      <w:r>
        <w:t xml:space="preserve"> </w:t>
      </w:r>
      <w:r>
        <w:t>于</w:t>
      </w:r>
      <w:r>
        <w:t>2025</w:t>
      </w:r>
      <w:r>
        <w:t>年</w:t>
      </w:r>
      <w:r>
        <w:t>10</w:t>
      </w:r>
      <w:r>
        <w:t>月下旬，积极配合甲方完成了验收前的专项安全审计。审计范围覆盖管理、技术、数据各层面，审计结论表明项目信息安全建设符合合同及管理计划要求，具备验收条件。</w:t>
      </w:r>
    </w:p>
    <w:p w14:paraId="1E434DA8" w14:textId="77777777" w:rsidR="006F5978" w:rsidRDefault="00000000">
      <w:pPr>
        <w:pStyle w:val="ad"/>
        <w:ind w:firstLine="480"/>
      </w:pPr>
      <w:r>
        <w:lastRenderedPageBreak/>
        <w:t>文档交付物就绪：</w:t>
      </w:r>
      <w:r>
        <w:t xml:space="preserve"> </w:t>
      </w:r>
      <w:r>
        <w:t>已整理并准备好全套安全交付文档，包括但不限于：《安全架构设计文档》、《系统安全配置清单》、《渗透测试报告》、《应急响应预案》、《安全培训记录》等，可供</w:t>
      </w:r>
      <w:proofErr w:type="gramStart"/>
      <w:r>
        <w:t>最终项目</w:t>
      </w:r>
      <w:proofErr w:type="gramEnd"/>
      <w:r>
        <w:t>验收（合同第</w:t>
      </w:r>
      <w:r>
        <w:t>10</w:t>
      </w:r>
      <w:r>
        <w:t>条）时提交。</w:t>
      </w:r>
    </w:p>
    <w:p w14:paraId="1706E307" w14:textId="77777777" w:rsidR="006F5978" w:rsidRDefault="00000000">
      <w:pPr>
        <w:pStyle w:val="10"/>
        <w:rPr>
          <w:lang w:eastAsia="zh-CN"/>
        </w:rPr>
      </w:pPr>
      <w:bookmarkStart w:id="15" w:name="_Toc31821"/>
      <w:r>
        <w:rPr>
          <w:lang w:eastAsia="zh-CN"/>
        </w:rPr>
        <w:t>总结与运维</w:t>
      </w:r>
      <w:proofErr w:type="gramStart"/>
      <w:r>
        <w:rPr>
          <w:lang w:eastAsia="zh-CN"/>
        </w:rPr>
        <w:t>期安全</w:t>
      </w:r>
      <w:proofErr w:type="gramEnd"/>
      <w:r>
        <w:rPr>
          <w:lang w:eastAsia="zh-CN"/>
        </w:rPr>
        <w:t>过渡计划</w:t>
      </w:r>
      <w:bookmarkEnd w:id="15"/>
    </w:p>
    <w:p w14:paraId="7E403178" w14:textId="77777777" w:rsidR="006F5978" w:rsidRDefault="00000000">
      <w:pPr>
        <w:pStyle w:val="20"/>
        <w:rPr>
          <w:lang w:eastAsia="zh-CN"/>
        </w:rPr>
      </w:pPr>
      <w:bookmarkStart w:id="16" w:name="_Toc18093"/>
      <w:r>
        <w:rPr>
          <w:lang w:eastAsia="zh-CN"/>
        </w:rPr>
        <w:t>总体评价</w:t>
      </w:r>
      <w:bookmarkEnd w:id="16"/>
    </w:p>
    <w:p w14:paraId="7FB6D60E" w14:textId="77777777" w:rsidR="006F5978" w:rsidRDefault="00000000">
      <w:pPr>
        <w:pStyle w:val="ad"/>
        <w:ind w:firstLine="480"/>
      </w:pPr>
      <w:r>
        <w:t>本项目信息安全管理工作实现了从</w:t>
      </w:r>
      <w:r>
        <w:t>“</w:t>
      </w:r>
      <w:r>
        <w:t>规划建设</w:t>
      </w:r>
      <w:r>
        <w:t>”</w:t>
      </w:r>
      <w:r>
        <w:t>到</w:t>
      </w:r>
      <w:r>
        <w:t>“</w:t>
      </w:r>
      <w:r>
        <w:t>稳定运行</w:t>
      </w:r>
      <w:r>
        <w:t>”</w:t>
      </w:r>
      <w:r>
        <w:t>的平稳过渡，建立了一套贴合智慧农业综合体业务特点、有效可控的安全防护体系，完全达到了项目初期设定的安全目标，并满足了国家法律法规及合同的强制性要求。</w:t>
      </w:r>
    </w:p>
    <w:p w14:paraId="243ED4E4" w14:textId="77777777" w:rsidR="006F5978" w:rsidRDefault="00000000">
      <w:pPr>
        <w:pStyle w:val="20"/>
        <w:rPr>
          <w:lang w:eastAsia="zh-CN"/>
        </w:rPr>
      </w:pPr>
      <w:bookmarkStart w:id="17" w:name="_Toc31955"/>
      <w:r>
        <w:rPr>
          <w:lang w:eastAsia="zh-CN"/>
        </w:rPr>
        <w:t>后续重点工作（运维服务期）：</w:t>
      </w:r>
      <w:bookmarkEnd w:id="17"/>
    </w:p>
    <w:p w14:paraId="197A07C5" w14:textId="77777777" w:rsidR="006F5978" w:rsidRDefault="00000000">
      <w:pPr>
        <w:pStyle w:val="ad"/>
        <w:ind w:firstLine="480"/>
      </w:pPr>
      <w:r>
        <w:t>根据合同</w:t>
      </w:r>
      <w:r>
        <w:rPr>
          <w:rFonts w:hint="eastAsia"/>
        </w:rPr>
        <w:t>规定</w:t>
      </w:r>
      <w:r>
        <w:t>，项目将进入为期三年的质量保证与运维服务期。信息安全工作的重心将实现以下转移：</w:t>
      </w:r>
    </w:p>
    <w:p w14:paraId="7988DB57" w14:textId="77777777" w:rsidR="006F5978" w:rsidRDefault="00000000">
      <w:pPr>
        <w:pStyle w:val="ad"/>
        <w:ind w:firstLine="480"/>
      </w:pPr>
      <w:r>
        <w:t>从</w:t>
      </w:r>
      <w:r>
        <w:t>“</w:t>
      </w:r>
      <w:r>
        <w:t>项目制</w:t>
      </w:r>
      <w:r>
        <w:t>”</w:t>
      </w:r>
      <w:r>
        <w:t>转向</w:t>
      </w:r>
      <w:r>
        <w:t>“</w:t>
      </w:r>
      <w:r>
        <w:t>服务化</w:t>
      </w:r>
      <w:r>
        <w:t>”</w:t>
      </w:r>
      <w:r>
        <w:t>：</w:t>
      </w:r>
      <w:r>
        <w:t xml:space="preserve"> </w:t>
      </w:r>
      <w:r>
        <w:t>制定《运维期信息安全管理规程》，将现有安全控制措施纳入日常运维流程。</w:t>
      </w:r>
    </w:p>
    <w:p w14:paraId="1253A373" w14:textId="77777777" w:rsidR="006F5978" w:rsidRDefault="00000000">
      <w:pPr>
        <w:pStyle w:val="ad"/>
        <w:ind w:firstLine="480"/>
      </w:pPr>
      <w:r>
        <w:t>持续监控与改进：</w:t>
      </w:r>
      <w:r>
        <w:t xml:space="preserve"> </w:t>
      </w:r>
      <w:r>
        <w:t>利用已部署的安全工具进行</w:t>
      </w:r>
      <w:proofErr w:type="spellStart"/>
      <w:r>
        <w:t>7x24</w:t>
      </w:r>
      <w:proofErr w:type="spellEnd"/>
      <w:r>
        <w:t>小时安全监控，定期（每半年）进行安全评估与渗透测试。</w:t>
      </w:r>
    </w:p>
    <w:p w14:paraId="2DB23C95" w14:textId="77777777" w:rsidR="006F5978" w:rsidRDefault="00000000">
      <w:pPr>
        <w:pStyle w:val="ad"/>
        <w:ind w:firstLine="480"/>
      </w:pPr>
      <w:r>
        <w:t>事件响应常态化：</w:t>
      </w:r>
      <w:r>
        <w:t xml:space="preserve"> </w:t>
      </w:r>
      <w:r>
        <w:t>将项目期验证有效的应急响应预案固化，并定期对甲方运维团队进行培训与联合演练。</w:t>
      </w:r>
    </w:p>
    <w:p w14:paraId="29CAF6BF" w14:textId="77777777" w:rsidR="006F5978" w:rsidRDefault="00000000">
      <w:pPr>
        <w:pStyle w:val="ad"/>
        <w:ind w:firstLine="480"/>
      </w:pPr>
      <w:r>
        <w:t>知识转移：</w:t>
      </w:r>
      <w:r>
        <w:t xml:space="preserve"> </w:t>
      </w:r>
      <w:r>
        <w:t>向甲方指定的运</w:t>
      </w:r>
      <w:proofErr w:type="gramStart"/>
      <w:r>
        <w:t>维人员</w:t>
      </w:r>
      <w:proofErr w:type="gramEnd"/>
      <w:r>
        <w:t>全面移交安全配置文档、管理权限和运维技能，确保</w:t>
      </w:r>
      <w:proofErr w:type="gramStart"/>
      <w:r>
        <w:t>安全运维能力</w:t>
      </w:r>
      <w:proofErr w:type="gramEnd"/>
      <w:r>
        <w:t>的平稳传承。</w:t>
      </w:r>
    </w:p>
    <w:sectPr w:rsidR="006F5978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210F" w14:textId="77777777" w:rsidR="0037769C" w:rsidRDefault="0037769C">
      <w:pPr>
        <w:spacing w:line="240" w:lineRule="auto"/>
      </w:pPr>
      <w:r>
        <w:separator/>
      </w:r>
    </w:p>
  </w:endnote>
  <w:endnote w:type="continuationSeparator" w:id="0">
    <w:p w14:paraId="1C3340CB" w14:textId="77777777" w:rsidR="0037769C" w:rsidRDefault="00377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AF6C1" w14:textId="77777777" w:rsidR="0037769C" w:rsidRDefault="0037769C">
      <w:pPr>
        <w:spacing w:line="240" w:lineRule="auto"/>
      </w:pPr>
      <w:r>
        <w:separator/>
      </w:r>
    </w:p>
  </w:footnote>
  <w:footnote w:type="continuationSeparator" w:id="0">
    <w:p w14:paraId="5E095FAA" w14:textId="77777777" w:rsidR="0037769C" w:rsidRDefault="003776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3C0C" w14:textId="77777777" w:rsidR="006F5978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</w:t>
    </w:r>
    <w:proofErr w:type="gramStart"/>
    <w:r>
      <w:rPr>
        <w:rFonts w:eastAsiaTheme="minorEastAsia" w:hint="eastAsia"/>
        <w:lang w:eastAsia="zh-CN"/>
      </w:rPr>
      <w:t>德软件</w:t>
    </w:r>
    <w:proofErr w:type="gramEnd"/>
    <w:r>
      <w:rPr>
        <w:rFonts w:eastAsiaTheme="minorEastAsia" w:hint="eastAsia"/>
        <w:lang w:eastAsia="zh-CN"/>
      </w:rPr>
      <w:t>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110743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78"/>
    <w:rsid w:val="0037769C"/>
    <w:rsid w:val="006F5978"/>
    <w:rsid w:val="008F1DA0"/>
    <w:rsid w:val="0092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F6F1F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link w:val="3Char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character" w:customStyle="1" w:styleId="3Char">
    <w:name w:val="柴_标题3 Char"/>
    <w:link w:val="30"/>
    <w:qFormat/>
    <w:rPr>
      <w:rFonts w:ascii="宋体" w:eastAsia="宋体" w:hAnsi="宋体" w:cs="宋体"/>
      <w:spacing w:val="-2"/>
      <w:sz w:val="24"/>
      <w:szCs w:val="24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1857</Words>
  <Characters>1969</Characters>
  <Application>Microsoft Office Word</Application>
  <DocSecurity>0</DocSecurity>
  <Lines>131</Lines>
  <Paragraphs>123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