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2-0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idowControl w:val="0"/>
        <w:wordWrap/>
        <w:overflowPunct/>
        <w:bidi w:val="0"/>
      </w:pPr>
      <w:bookmarkStart w:id="0" w:name="_Toc22278"/>
      <w:bookmarkStart w:id="1" w:name="_Toc7300"/>
      <w:r>
        <w:rPr>
          <w:rFonts w:hint="eastAsia"/>
          <w:lang w:val="en-US" w:eastAsia="zh-CN"/>
        </w:rPr>
        <w:t>陕西益利德软件科技有限公司</w:t>
      </w:r>
      <w:bookmarkEnd w:id="0"/>
      <w:bookmarkEnd w:id="1"/>
    </w:p>
    <w:p>
      <w:pPr>
        <w:pStyle w:val="a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2" w:name="_Toc3427"/>
      <w:bookmarkStart w:id="3" w:name="_Toc7337"/>
      <w:r>
        <w:rPr>
          <w:rFonts w:hint="eastAsia"/>
          <w:lang w:val="en-US" w:eastAsia="zh-CN"/>
        </w:rPr>
        <w:t>可用性计划</w:t>
      </w:r>
      <w:bookmarkEnd w:id="2"/>
      <w:bookmarkEnd w:id="3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孙光莉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孙光莉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884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4" w:name="_GoBack"/>
          <w:bookmarkEnd w:id="4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_Toc7300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_Toc7300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_Toc7337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可用性计划</w:t>
          </w:r>
          <w:r>
            <w:tab/>
          </w:r>
          <w:r>
            <w:fldChar w:fldCharType="begin"/>
          </w:r>
          <w:r>
            <w:instrText xml:space="preserve"> PAGEREF _Toc7337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_Toc30947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_Toc30947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_Toc24232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_Toc19629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_Toc19629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_Toc14480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_Toc22333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可用性工作实施</w:t>
          </w:r>
          <w:r>
            <w:tab/>
          </w:r>
          <w:r>
            <w:fldChar w:fldCharType="begin"/>
          </w:r>
          <w:r>
            <w:instrText xml:space="preserve"> PAGEREF _Toc1956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可用性需求</w:t>
          </w:r>
          <w:r>
            <w:tab/>
          </w:r>
          <w:r>
            <w:fldChar w:fldCharType="begin"/>
          </w:r>
          <w:r>
            <w:instrText xml:space="preserve"> PAGEREF _Toc30423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检测、维护及恢复方案</w:t>
          </w:r>
          <w:r>
            <w:tab/>
          </w:r>
          <w:r>
            <w:fldChar w:fldCharType="begin"/>
          </w:r>
          <w:r>
            <w:instrText xml:space="preserve"> PAGEREF _Toc30457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日常维护方案</w:t>
          </w:r>
          <w:r>
            <w:tab/>
          </w:r>
          <w:r>
            <w:fldChar w:fldCharType="begin"/>
          </w:r>
          <w:r>
            <w:instrText xml:space="preserve"> PAGEREF _Toc24723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系统恢复方案</w:t>
          </w:r>
          <w:r>
            <w:tab/>
          </w:r>
          <w:r>
            <w:fldChar w:fldCharType="begin"/>
          </w:r>
          <w:r>
            <w:instrText xml:space="preserve"> PAGEREF _Toc11318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计划的评审</w:t>
          </w:r>
          <w:r>
            <w:tab/>
          </w:r>
          <w:r>
            <w:fldChar w:fldCharType="begin"/>
          </w:r>
          <w:r>
            <w:instrText xml:space="preserve"> PAGEREF _Toc7331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_Toc19276 </w:instrText>
          </w:r>
          <w: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_Toc19276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keepLines w:val="0"/>
        <w:pageBreakBefore w:val="0"/>
        <w:widowControl w:val="0"/>
        <w:wordWrap/>
        <w:overflowPunct/>
        <w:bidi w:val="0"/>
        <w:rPr>
          <w:rFonts w:ascii="Arial" w:eastAsia="宋体" w:hAnsi="Arial" w:cs="Arial" w:hint="eastAsia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5" w:name="_Toc13947"/>
      <w:bookmarkStart w:id="6" w:name="_Toc30947"/>
      <w:r>
        <w:t>目的</w:t>
      </w:r>
      <w:bookmarkEnd w:id="5"/>
      <w:bookmarkEnd w:id="6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实施本可用性计划的核心目的在于，通过规范化的预防性维护和快速响应机制，显著提高运维服务体系中各项措施的实施成功率。确保在发生系统故障或服务中断等关键时刻，所有运维操作均有据可依、有章可循，能够严格按既定计划执行，从而保障业务连续性，最大化系统与服务的可用性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25818"/>
      <w:bookmarkStart w:id="8" w:name="_Toc24232"/>
      <w:r>
        <w:rPr>
          <w:rFonts w:hint="eastAsia"/>
          <w:lang w:val="en-US" w:eastAsia="zh-CN"/>
        </w:rPr>
        <w:t>原则</w:t>
      </w:r>
      <w:bookmarkEnd w:id="7"/>
      <w:bookmarkEnd w:id="8"/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通过主动的监控、巡检和预防性维护，最大限度地预防故障发生，而非被动响应。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连续性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所有活动的最终目标是保障和支持客户的业务连续、稳定运行。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定期评审计划，根据可用性绩效和事件分析，不断优化流程和措施。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9" w:name="_Toc29239"/>
      <w:bookmarkStart w:id="10" w:name="_Toc19629"/>
      <w:r>
        <w:rPr>
          <w:rFonts w:hint="eastAsia"/>
          <w:lang w:val="en-US" w:eastAsia="zh-CN"/>
        </w:rPr>
        <w:t>适用</w:t>
      </w:r>
      <w:r>
        <w:t>范围</w:t>
      </w:r>
      <w:bookmarkEnd w:id="9"/>
      <w:bookmarkEnd w:id="10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本计划适用于为客户提供的所有运维服务工作，以及支持这些服务运行所必需的基础设施和软件系统，包括但不限于服务器、网络设备、相关系统软件及应用</w:t>
      </w:r>
      <w:r>
        <w:rPr>
          <w:rFonts w:hint="eastAsia"/>
          <w:lang w:val="en-US" w:eastAsia="zh-CN"/>
        </w:rPr>
        <w:t>程序</w:t>
      </w:r>
      <w:r>
        <w:t>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1" w:name="_Toc92"/>
      <w:bookmarkStart w:id="12" w:name="_Toc14480"/>
      <w:r>
        <w:rPr>
          <w:rFonts w:hint="eastAsia"/>
          <w:lang w:val="en-US" w:eastAsia="zh-CN"/>
        </w:rPr>
        <w:t>岗位职责</w:t>
      </w:r>
      <w:bookmarkEnd w:id="11"/>
      <w:bookmarkEnd w:id="12"/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3" w:name="_Toc29740"/>
      <w:bookmarkStart w:id="14" w:name="_Toc22333"/>
      <w:r>
        <w:rPr>
          <w:rFonts w:hint="eastAsia"/>
          <w:lang w:val="en-US" w:eastAsia="zh-CN"/>
        </w:rPr>
        <w:t>交付部</w:t>
      </w:r>
      <w:bookmarkEnd w:id="13"/>
      <w:bookmarkEnd w:id="14"/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日常监控与预防维护：通过7x24小时监控和定期巡检，主动发现并处理潜在风险，预防故障发生。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应急响应与快速恢复：在故障发生时，作为第一响应团队，严格按照SLA要求（如4小时到场）执行恢复流程，最大限度减少停机时间。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规范执行与记录：严格执行计划内维护流程（如夜间检修），并详细记录所有维护、故障及处理情况，确保所有操作有据可查。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数据提供与持续改进：收集系统可用性数据，编制可用性报告，并为计划的年度评审提供数据支持，推动流程和措施的持续优化。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5" w:name="_Toc15155"/>
      <w:bookmarkStart w:id="16" w:name="_Toc1956"/>
      <w:r>
        <w:rPr>
          <w:rFonts w:hint="eastAsia"/>
          <w:lang w:val="en-US" w:eastAsia="zh-CN"/>
        </w:rPr>
        <w:t>可用性工作实施</w:t>
      </w:r>
      <w:bookmarkEnd w:id="15"/>
      <w:bookmarkEnd w:id="16"/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18216"/>
      <w:bookmarkStart w:id="18" w:name="_Toc30423"/>
      <w:r>
        <w:rPr>
          <w:rFonts w:hint="default"/>
          <w:lang w:val="en-US" w:eastAsia="zh-CN"/>
        </w:rPr>
        <w:t>可用性需求</w:t>
      </w:r>
      <w:bookmarkEnd w:id="17"/>
      <w:bookmarkEnd w:id="18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根据客户业务要求，明确以下可用性需求：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可用时间：核心系统与服务要求提供7×24小时的不间断服务能力。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宕机时间：如因计划内维修或升级需停止服务器，必须提前通知用户，并获得许可。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最低绩效：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所有计划内的停机检修工作须避开业务高峰期，通常安排在晚上7点后进行。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计划内维修的目标修复时间应尽量控制在12小时之内完成。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可用性报告及频率：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由指定的可用性负责人编写《可用性报告》。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常规报告频率为每年一次。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此外，每当发生重大升级或变更服务后，必须额外生成一份可用性报告并提交给部门领导。</w:t>
      </w:r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9" w:name="_Toc26332"/>
      <w:bookmarkStart w:id="20" w:name="_Toc30457"/>
      <w:r>
        <w:rPr>
          <w:rFonts w:hint="default"/>
          <w:lang w:val="en-US" w:eastAsia="zh-CN"/>
        </w:rPr>
        <w:t>检测、维护及恢复方案</w:t>
      </w:r>
      <w:bookmarkEnd w:id="19"/>
      <w:bookmarkEnd w:id="20"/>
    </w:p>
    <w:p>
      <w:pPr>
        <w:pStyle w:val="3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1" w:name="_Toc30965"/>
      <w:bookmarkStart w:id="22" w:name="_Toc18682"/>
      <w:bookmarkStart w:id="23" w:name="_Toc24723"/>
      <w:r>
        <w:rPr>
          <w:rFonts w:hint="default"/>
          <w:lang w:val="en-US" w:eastAsia="zh-CN"/>
        </w:rPr>
        <w:t>日常维护方案</w:t>
      </w:r>
      <w:bookmarkEnd w:id="21"/>
      <w:bookmarkEnd w:id="22"/>
      <w:bookmarkEnd w:id="23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为确保系统持续稳</w:t>
      </w:r>
      <w:r>
        <w:rPr>
          <w:rStyle w:val="3Char"/>
          <w:rFonts w:hint="default"/>
          <w:lang w:val="en-US" w:eastAsia="zh-CN"/>
        </w:rPr>
        <w:t>定</w:t>
      </w:r>
      <w:r>
        <w:rPr>
          <w:rFonts w:hint="default"/>
          <w:lang w:val="en-US" w:eastAsia="zh-CN"/>
        </w:rPr>
        <w:t>运行，将执行以下日常维护措施：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资源配备：安排专职</w:t>
      </w: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人员1名，配备笔记本电脑 1台、维护记录本及全套维修工具，以满足日常维护和应急响应需求。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监视方法：采用定期人工巡检与自动化软件监控相结合的方式，全面监视设备运行状况。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人工巡检：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频率：每月进行一次全面巡检。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内容：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检查硬件设备的温度、运行状态指示灯，进行必要的保养维护与性能测试，并对系统进行优化。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检查软件系统的运行情况，包括数据库状态、分析后台日志和验证数据备份的完整性。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记录：所有检查结果必须详细填写于《巡检记录表》，并在维护记录本中完成登记。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软件监控：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客户可通过监控系统实时监控视频设备运行状况、资源利用率及系统健康度。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涉及的具体管理需求包括：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密码维护：由专人负责，定期更新，确保安全。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应急修补方法：建立标准流程，用于快速应对发现的安全漏洞或系统缺陷。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操作、监控和诊断技能：对运维人员进行持续培训，确保其具备所需的技能。</w:t>
      </w:r>
    </w:p>
    <w:p>
      <w:pPr>
        <w:pStyle w:val="3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4" w:name="_Toc31522"/>
      <w:bookmarkStart w:id="25" w:name="_Toc11318"/>
      <w:r>
        <w:rPr>
          <w:rFonts w:hint="default"/>
          <w:lang w:val="en-US" w:eastAsia="zh-CN"/>
        </w:rPr>
        <w:t>系统恢复方案</w:t>
      </w:r>
      <w:bookmarkEnd w:id="24"/>
      <w:bookmarkEnd w:id="25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根据合同承诺，在系统发生故障后，</w:t>
      </w:r>
      <w:r>
        <w:rPr>
          <w:rFonts w:hint="eastAsia"/>
          <w:lang w:val="en-US" w:eastAsia="zh-CN"/>
        </w:rPr>
        <w:t>运维实施</w:t>
      </w:r>
      <w:r>
        <w:rPr>
          <w:rFonts w:hint="default"/>
          <w:lang w:val="en-US" w:eastAsia="zh-CN"/>
        </w:rPr>
        <w:t>工程师须在4小时内抵达现场，并在24小时内完成故障修复。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为保障修复质量与效率，将确保配置的全套专业维修工具始终可用，以满足各类现场维修需求。</w:t>
      </w:r>
    </w:p>
    <w:p>
      <w:pPr>
        <w:pStyle w:val="3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6" w:name="_Toc21508"/>
      <w:bookmarkStart w:id="27" w:name="_Toc18062"/>
      <w:bookmarkStart w:id="28" w:name="_Toc7331"/>
      <w:r>
        <w:rPr>
          <w:rFonts w:hint="default"/>
          <w:lang w:val="en-US" w:eastAsia="zh-CN"/>
        </w:rPr>
        <w:t>计划的评审</w:t>
      </w:r>
      <w:bookmarkEnd w:id="26"/>
      <w:bookmarkEnd w:id="27"/>
      <w:bookmarkEnd w:id="28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本可用性计划每年将定期评审一次，以确保其持续有效性、适应性及可行性，并能应对业务和技术环境的变化。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29" w:name="bookmark3"/>
      <w:bookmarkEnd w:id="29"/>
      <w:bookmarkStart w:id="30" w:name="_Toc17424"/>
      <w:bookmarkStart w:id="31" w:name="_Toc15439"/>
      <w:bookmarkStart w:id="32" w:name="_Toc19276"/>
      <w:r>
        <w:rPr>
          <w:rStyle w:val="1Char"/>
          <w:rFonts w:eastAsia="宋体" w:hint="eastAsia"/>
          <w:lang w:val="en-US" w:eastAsia="zh-CN"/>
        </w:rPr>
        <w:t>附则</w:t>
      </w:r>
      <w:bookmarkEnd w:id="30"/>
      <w:bookmarkEnd w:id="31"/>
      <w:bookmarkEnd w:id="32"/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计划</w:t>
      </w:r>
      <w:r>
        <w:rPr>
          <w:rFonts w:ascii="宋体" w:eastAsia="宋体" w:hAnsi="宋体" w:cs="宋体"/>
          <w:spacing w:val="-1"/>
          <w:sz w:val="24"/>
          <w:szCs w:val="24"/>
        </w:rPr>
        <w:t>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交付部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</w:t>
      </w:r>
      <w:r>
        <w:rPr>
          <w:rFonts w:ascii="宋体" w:eastAsia="宋体" w:hAnsi="宋体" w:cs="宋体" w:hint="eastAsia"/>
          <w:spacing w:val="-2"/>
          <w:sz w:val="24"/>
          <w:szCs w:val="24"/>
          <w:lang w:val="en-US" w:eastAsia="zh-CN"/>
        </w:rPr>
        <w:t>计划</w:t>
      </w:r>
      <w:r>
        <w:rPr>
          <w:rFonts w:ascii="宋体" w:eastAsia="宋体" w:hAnsi="宋体" w:cs="宋体"/>
          <w:spacing w:val="-2"/>
          <w:sz w:val="24"/>
          <w:szCs w:val="24"/>
        </w:rPr>
        <w:t>自颁布之日起施行。</w:t>
      </w:r>
      <w:bookmarkStart w:id="33" w:name="bookmark14"/>
      <w:bookmarkEnd w:id="33"/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309290A"/>
    <w:multiLevelType w:val="singleLevel"/>
    <w:tmpl w:val="930929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E11D14A"/>
    <w:multiLevelType w:val="singleLevel"/>
    <w:tmpl w:val="9E11D14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C8824AC8"/>
    <w:multiLevelType w:val="singleLevel"/>
    <w:tmpl w:val="C8824AC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5108AA2"/>
    <w:multiLevelType w:val="singleLevel"/>
    <w:tmpl w:val="D5108AA2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069CC00"/>
    <w:multiLevelType w:val="singleLevel"/>
    <w:tmpl w:val="0069CC00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29D60D7B"/>
    <w:multiLevelType w:val="singleLevel"/>
    <w:tmpl w:val="29D60D7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096E152"/>
    <w:multiLevelType w:val="singleLevel"/>
    <w:tmpl w:val="3096E15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2"/>
  </w:num>
  <w:num w:numId="6">
    <w:abstractNumId w:val="4"/>
  </w:num>
  <w:num w:numId="7">
    <w:abstractNumId w:val="3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1577</Words>
  <Characters>1674</Characters>
  <Application>Microsoft Office Word</Application>
  <DocSecurity>0</DocSecurity>
  <Lines>0</Lines>
  <Paragraphs>0</Paragraphs>
  <ScaleCrop>false</ScaleCrop>
  <Company/>
  <LinksUpToDate>false</LinksUpToDate>
  <CharactersWithSpaces>1729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2025-12-27T08:40:09Z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