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26717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6854"/>
      <w:r>
        <w:rPr>
          <w:rFonts w:hint="eastAsia"/>
          <w:lang w:val="en-US" w:eastAsia="zh-CN"/>
        </w:rPr>
        <w:t>服务数据管理制度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孙光莉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孙光莉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bookmarkStart w:id="2" w:name="_GoBack"/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  <w:bookmarkEnd w:id="2"/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_Toc26717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_Toc26854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_Toc32177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_Toc10510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_Toc8950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_Toc21944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_Toc24224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_Toc6223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</w:t>
          </w:r>
          <w:r>
            <w:tab/>
          </w:r>
          <w:r>
            <w:fldChar w:fldCharType="begin"/>
          </w:r>
          <w:r>
            <w:instrText xml:space="preserve"> PAGEREF _Toc1594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服务数据全生命周期管理</w:t>
          </w:r>
          <w:r>
            <w:tab/>
          </w:r>
          <w:r>
            <w:fldChar w:fldCharType="begin"/>
          </w:r>
          <w:r>
            <w:instrText xml:space="preserve"> PAGEREF _Toc25348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数据采集</w:t>
          </w:r>
          <w:r>
            <w:tab/>
          </w:r>
          <w:r>
            <w:fldChar w:fldCharType="begin"/>
          </w:r>
          <w:r>
            <w:instrText xml:space="preserve"> PAGEREF _Toc12982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数据存储</w:t>
          </w:r>
          <w:r>
            <w:tab/>
          </w:r>
          <w:r>
            <w:fldChar w:fldCharType="begin"/>
          </w:r>
          <w:r>
            <w:instrText xml:space="preserve"> PAGEREF _Toc17504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数据处理与转换</w:t>
          </w:r>
          <w:r>
            <w:tab/>
          </w:r>
          <w:r>
            <w:fldChar w:fldCharType="begin"/>
          </w:r>
          <w:r>
            <w:instrText xml:space="preserve"> PAGEREF _Toc13395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数据使用与共享</w:t>
          </w:r>
          <w:r>
            <w:tab/>
          </w:r>
          <w:r>
            <w:fldChar w:fldCharType="begin"/>
          </w:r>
          <w:r>
            <w:instrText xml:space="preserve"> PAGEREF _Toc16410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5.1.5. </w:t>
          </w:r>
          <w:r>
            <w:t>数据销毁</w:t>
          </w:r>
          <w:r>
            <w:tab/>
          </w:r>
          <w:r>
            <w:fldChar w:fldCharType="begin"/>
          </w:r>
          <w:r>
            <w:instrText xml:space="preserve"> PAGEREF _Toc27287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数据安全与合规</w:t>
          </w:r>
          <w:r>
            <w:tab/>
          </w:r>
          <w:r>
            <w:fldChar w:fldCharType="begin"/>
          </w:r>
          <w:r>
            <w:instrText xml:space="preserve"> PAGEREF _Toc8105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安全防护</w:t>
          </w:r>
          <w:r>
            <w:tab/>
          </w:r>
          <w:r>
            <w:fldChar w:fldCharType="begin"/>
          </w:r>
          <w:r>
            <w:instrText xml:space="preserve"> PAGEREF _Toc18733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合规管理</w:t>
          </w:r>
          <w:r>
            <w:tab/>
          </w:r>
          <w:r>
            <w:fldChar w:fldCharType="begin"/>
          </w:r>
          <w:r>
            <w:instrText xml:space="preserve"> PAGEREF _Toc3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数据质量控制</w:t>
          </w:r>
          <w:r>
            <w:tab/>
          </w:r>
          <w:r>
            <w:fldChar w:fldCharType="begin"/>
          </w:r>
          <w:r>
            <w:instrText xml:space="preserve"> PAGEREF _Toc22699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质量指标</w:t>
          </w:r>
          <w:r>
            <w:tab/>
          </w:r>
          <w:r>
            <w:fldChar w:fldCharType="begin"/>
          </w:r>
          <w:r>
            <w:instrText xml:space="preserve"> PAGEREF _Toc20519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质量监控</w:t>
          </w:r>
          <w:r>
            <w:tab/>
          </w:r>
          <w:r>
            <w:fldChar w:fldCharType="begin"/>
          </w:r>
          <w:r>
            <w:instrText xml:space="preserve"> PAGEREF _Toc14984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质量改进</w:t>
          </w:r>
          <w:r>
            <w:tab/>
          </w:r>
          <w:r>
            <w:fldChar w:fldCharType="begin"/>
          </w:r>
          <w:r>
            <w:instrText xml:space="preserve"> PAGEREF _Toc18773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数据共享与应用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数据共享</w:t>
          </w:r>
          <w:r>
            <w:tab/>
          </w:r>
          <w:r>
            <w:fldChar w:fldCharType="begin"/>
          </w:r>
          <w:r>
            <w:instrText xml:space="preserve"> PAGEREF _Toc32332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数据应用</w:t>
          </w:r>
          <w:r>
            <w:tab/>
          </w:r>
          <w:r>
            <w:fldChar w:fldCharType="begin"/>
          </w:r>
          <w:r>
            <w:instrText xml:space="preserve"> PAGEREF _Toc13104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监督与审计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内部监督</w:t>
          </w:r>
          <w:r>
            <w:tab/>
          </w:r>
          <w:r>
            <w:fldChar w:fldCharType="begin"/>
          </w:r>
          <w:r>
            <w:instrText xml:space="preserve"> PAGEREF _Toc14006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制度评审与改进</w:t>
          </w:r>
          <w:r>
            <w:tab/>
          </w:r>
          <w:r>
            <w:fldChar w:fldCharType="begin"/>
          </w:r>
          <w:r>
            <w:instrText xml:space="preserve"> PAGEREF _Toc27420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外部审计</w:t>
          </w:r>
          <w:r>
            <w:tab/>
          </w:r>
          <w:r>
            <w:fldChar w:fldCharType="begin"/>
          </w:r>
          <w:r>
            <w:instrText xml:space="preserve"> PAGEREF _Toc29530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培训与宣贯</w:t>
          </w:r>
          <w:r>
            <w:tab/>
          </w:r>
          <w:r>
            <w:fldChar w:fldCharType="begin"/>
          </w:r>
          <w:r>
            <w:instrText xml:space="preserve"> PAGEREF _Toc18178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_Toc12500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_Toc16931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_Toc16931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_Toc11092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_Toc11092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_Toc32177"/>
      <w:r>
        <w:t>目的</w:t>
      </w:r>
      <w:bookmarkEnd w:id="3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本制度旨在通过建立系统化的服务数据管理体系，实现服务数据的规范采集、安全存储、高效利用和合规管控，提升服务质量与效率，支撑服务过程改进和应急交付决策，保障服务数据资产的完整性与价值最大化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10508"/>
      <w:r>
        <w:rPr>
          <w:rFonts w:hint="eastAsia"/>
          <w:lang w:val="en-US" w:eastAsia="zh-CN"/>
        </w:rPr>
        <w:t>原则</w:t>
      </w:r>
      <w:bookmarkEnd w:id="4"/>
    </w:p>
    <w:p>
      <w:pPr>
        <w:pStyle w:val="a3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全面性原则：</w:t>
      </w:r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覆盖服务数据全生命周期各环节，确保无管理盲区。</w:t>
      </w:r>
    </w:p>
    <w:p>
      <w:pPr>
        <w:pStyle w:val="a3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准确性原则：</w:t>
      </w:r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保证服务数据真实、准确、完整，为决策提供可靠依据。</w:t>
      </w:r>
    </w:p>
    <w:p>
      <w:pPr>
        <w:pStyle w:val="a3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安全性原则：</w:t>
      </w:r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采取必要的技术和管理措施，保障服务数据不被泄露、篡改或滥用。</w:t>
      </w:r>
    </w:p>
    <w:p>
      <w:pPr>
        <w:pStyle w:val="a3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合规性原则：</w:t>
      </w:r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遵循国家相关法律法规及行业标准，规范服务数据的管理与使用。</w:t>
      </w:r>
    </w:p>
    <w:p>
      <w:pPr>
        <w:pStyle w:val="a3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实用性原则：</w:t>
      </w:r>
    </w:p>
    <w:p>
      <w:pPr>
        <w:pStyle w:val="a3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服务数据管理流程应简洁高效，满足服务优化和业务发展需求。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5" w:name="_Toc8950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适用于组织内所有与服务活动相关的数据，包括但不限于服务需求数据、响应数据、执行数据、结果数据、客户反馈数据、应急交付数据等，涵盖数据从产生、流转、使用到销毁的全生命周期，涉及所有参与服务数据管理的部门及人员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1944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24224"/>
      <w:r>
        <w:rPr>
          <w:rFonts w:hint="eastAsia"/>
          <w:lang w:val="en-US" w:eastAsia="zh-CN"/>
        </w:rPr>
        <w:t>交付部</w:t>
      </w:r>
      <w:bookmarkEnd w:id="7"/>
    </w:p>
    <w:p>
      <w:pPr>
        <w:pStyle w:val="a3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t>负责服务数据管理系统的建设、维护和技术支持，保障系统安全稳定运行，提供数据存储、处理、分析等技术服务。</w:t>
      </w:r>
    </w:p>
    <w:p>
      <w:pPr>
        <w:pStyle w:val="a3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负责制定和完善服务数据管理制度、流程和标准，组织开展数据治理工作，监督制度的执行情况</w:t>
      </w:r>
      <w:r>
        <w:rPr>
          <w:rFonts w:hint="eastAsia"/>
          <w:lang w:val="en-US" w:eastAsia="zh-CN"/>
        </w:rPr>
        <w:t>.</w:t>
      </w:r>
    </w:p>
    <w:p>
      <w:pPr>
        <w:pStyle w:val="a3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  <w:rPr>
          <w:rFonts w:ascii="宋体" w:hAnsi="宋体" w:cs="宋体" w:hint="eastAsia"/>
          <w:spacing w:val="-1"/>
          <w:szCs w:val="24"/>
          <w:lang w:val="en-US" w:eastAsia="zh-CN"/>
        </w:rPr>
      </w:pPr>
      <w:r>
        <w:t>负责本部门服务数据的采集、整理、上报和使用，确保数据质量。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6223"/>
      <w:r>
        <w:rPr>
          <w:rFonts w:hint="eastAsia"/>
          <w:lang w:val="en-US" w:eastAsia="zh-CN"/>
        </w:rPr>
        <w:t>研发部</w:t>
      </w:r>
      <w:bookmarkEnd w:id="8"/>
    </w:p>
    <w:p>
      <w:pPr>
        <w:pStyle w:val="a1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hanging="425" w:leftChars="0" w:firstLineChars="0"/>
        <w:rPr>
          <w:rFonts w:hint="default"/>
          <w:lang w:val="en-US" w:eastAsia="zh-CN"/>
        </w:rPr>
      </w:pPr>
      <w:r>
        <w:t>负责本部门服务数据的采集、整理、上报和使用，确保数据质量。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9" w:name="bookmark3"/>
      <w:bookmarkEnd w:id="9"/>
      <w:bookmarkStart w:id="10" w:name="_Toc1594"/>
      <w:bookmarkStart w:id="11" w:name="_Toc17424"/>
      <w:r>
        <w:rPr>
          <w:rFonts w:hint="eastAsia"/>
          <w:lang w:val="en-US" w:eastAsia="zh-CN"/>
        </w:rPr>
        <w:t>服务数据管理</w:t>
      </w:r>
      <w:bookmarkEnd w:id="10"/>
      <w:bookmarkEnd w:id="11"/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12" w:name="_Toc25348"/>
      <w:r>
        <w:t>服务数据全生命周期管理</w:t>
      </w:r>
      <w:bookmarkEnd w:id="12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服务数据生命周期主要包括：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数据处理与转换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数据使用与分享</w:t>
      </w:r>
    </w:p>
    <w:p>
      <w:pPr>
        <w:pStyle w:val="a1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数据销毁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3" w:name="bookmark9"/>
      <w:bookmarkEnd w:id="13"/>
      <w:bookmarkStart w:id="14" w:name="_Toc12982"/>
      <w:r>
        <w:t>数据采集</w:t>
      </w:r>
      <w:bookmarkEnd w:id="14"/>
    </w:p>
    <w:p>
      <w:pPr>
        <w:pStyle w:val="a3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采集范围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包括服务需求信息（需求内容、紧急程度、客户信息等）、服务响应信息（响应时间、响应方式、响应人员等）、服务执行信息（执行步骤、资源消耗、进度情况等）、服务结果信息（交付成果、验收情况、服务成本等）、客户反馈信息（满意度评分、意见建议等）、应急交付信息（应急场景、处置措施、交付时效等）。</w:t>
      </w:r>
    </w:p>
    <w:p>
      <w:pPr>
        <w:pStyle w:val="a3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采集标准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明确各类服务数据的采集字段、数据格式、计量单位等，确保数据的一致性和可比性。例如，服务响应时间精确到分钟，满意度评分采用百分制。</w:t>
      </w:r>
    </w:p>
    <w:p>
      <w:pPr>
        <w:pStyle w:val="a3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采集方式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结合自动化采集和人工采集两种方式。对于可通过系统自动获取的数据（如服务系统中的响应时间、执行进度等），由交付部配置自动采集规则；对于需人工录入的数据（如客户口头反馈、现场服务情况等），由业务人员通过指定系统或表单及时、准确录入。</w:t>
      </w:r>
    </w:p>
    <w:p>
      <w:pPr>
        <w:pStyle w:val="a3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</w:pPr>
      <w:r>
        <w:t>采集责任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业务人员为数据采集的直接责任人，确保在数据产生后24小时内完成采集录入工作，</w:t>
      </w:r>
      <w:r>
        <w:rPr>
          <w:rFonts w:hint="eastAsia"/>
          <w:lang w:eastAsia="zh-CN"/>
        </w:rPr>
        <w:t>交付部</w:t>
      </w:r>
      <w:r>
        <w:t>定期检查采集完成情况。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5" w:name="_Toc17504"/>
      <w:r>
        <w:t>数据存储</w:t>
      </w:r>
      <w:bookmarkEnd w:id="15"/>
    </w:p>
    <w:p>
      <w:pPr>
        <w:pStyle w:val="a3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hanging="425" w:leftChars="0" w:firstLineChars="0"/>
      </w:pPr>
      <w:r>
        <w:t>存储要求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采用安全可靠的存储介质和系统，满足数据存储容量、性能和可靠性需求。根据数据重要程度和访问频率，合理规划存储架构，对重要数据实行多副本存</w:t>
      </w:r>
      <w:r>
        <w:rPr>
          <w:rFonts w:hint="eastAsia"/>
          <w:lang w:eastAsia="zh-CN"/>
        </w:rPr>
        <w:t>、</w:t>
      </w:r>
      <w:r>
        <w:t>储和异地备份。</w:t>
      </w:r>
    </w:p>
    <w:p>
      <w:pPr>
        <w:pStyle w:val="a3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hanging="425" w:leftChars="0" w:firstLineChars="0"/>
      </w:pPr>
      <w:r>
        <w:t>存储分类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按照数据类型和敏感程度进行分类存储。敏感数据（如客户隐私信息、核心业务数据）需进行加密存储，普通数据可采用常规存储方式。</w:t>
      </w:r>
    </w:p>
    <w:p>
      <w:pPr>
        <w:pStyle w:val="a3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hanging="425" w:leftChars="0" w:firstLineChars="0"/>
      </w:pPr>
      <w:r>
        <w:t>存储期限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根据数据的价值和相关规定，确定不同类型服务数据的存储期限。服务需求、结果等关键数据长期存储；应急交付数据存储至应急事件处理完毕后5 年；其他一般性数据存储3-5年，超过存储期限的数据按规定进行归档或销毁。</w:t>
      </w:r>
    </w:p>
    <w:p>
      <w:pPr>
        <w:pStyle w:val="a3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hanging="425" w:leftChars="0" w:firstLineChars="0"/>
      </w:pPr>
      <w:r>
        <w:t>数据备份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交付部负责制定数据备份计划，定期对服务数据进行备份，备份频率至少为每日一次。备份数据需进行加密处理，并存储在安全的地点，定期进行备份恢复测试，确保备份数据的可用性。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6" w:name="bookmark11"/>
      <w:bookmarkEnd w:id="16"/>
      <w:bookmarkStart w:id="17" w:name="_Toc13395"/>
      <w:r>
        <w:t>数据处理与转换</w:t>
      </w:r>
      <w:bookmarkEnd w:id="17"/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数据清洗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定期对服务数据进行清洗，去除重复数据、纠正错误数据、补充缺失数据，确保数据的准确性和完整性。对于清洗过程中发现的问题，及时反馈给相关业务部门进行整改。</w:t>
      </w:r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数据转换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根据数据分析和应用需求，对服务数据进行格式转换、汇总计算等处理，形成符合要求的数据形式。例如，将分散的客户反馈数据汇总成月度满意度报告。</w:t>
      </w:r>
    </w:p>
    <w:p>
      <w:pPr>
        <w:pStyle w:val="a3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hanging="425" w:leftChars="0" w:firstLineChars="0"/>
      </w:pPr>
      <w:r>
        <w:t>数据整合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整合不同来源、不同格式的服务数据，消除数据孤岛，形成统一的服务数据视图，为数据分析和应用提供支持。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18" w:name="bookmark12"/>
      <w:bookmarkEnd w:id="18"/>
      <w:bookmarkStart w:id="19" w:name="_Toc16409"/>
      <w:r>
        <w:t>数据使用与共享</w:t>
      </w:r>
      <w:bookmarkEnd w:id="19"/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数据使用权限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基于“最小权限”原则，为不同部门和人员分配相应的数据使用权限。</w:t>
      </w:r>
      <w:r>
        <w:rPr>
          <w:rFonts w:hint="eastAsia"/>
          <w:lang w:val="en-US" w:eastAsia="zh-CN"/>
        </w:rPr>
        <w:t>运维相关部门</w:t>
      </w:r>
      <w:r>
        <w:t>可使用本部门相关的服务数据；管理部门可使用全局服务数据进行分析和决策；外部机构如需使用服务数据，需经</w:t>
      </w:r>
      <w:r>
        <w:rPr>
          <w:rFonts w:hint="eastAsia"/>
          <w:lang w:val="en-US" w:eastAsia="zh-CN"/>
        </w:rPr>
        <w:t>管理层</w:t>
      </w:r>
      <w:r>
        <w:t>审批，并签订数据使用协议。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数据使用规范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使用服务数据时，应遵守相关法律法规和组织规定，不得用于未经授权的用途。严禁泄露、篡改、出售服务数据，对敏感数据的使用需进行严格审批和记录。</w:t>
      </w:r>
    </w:p>
    <w:p>
      <w:pPr>
        <w:pStyle w:val="a3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</w:pPr>
      <w:r>
        <w:t>数据共享机制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建立数据共享平台，实现各部门之间服务数据的有序共享。数据共享需通过数据共享平台进行，共享过程中需对数据进行脱敏处理，保护敏感信息。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数据提供部门负责确保共享数据的质量，数据使用部门对共享数据的合理使用负责。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0" w:name="_Toc27287"/>
      <w:r>
        <w:t>数据销毁</w:t>
      </w:r>
      <w:bookmarkEnd w:id="20"/>
    </w:p>
    <w:p>
      <w:pPr>
        <w:pStyle w:val="a3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销毁条件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超过存储期限且无保留价值的数据、经批准需要销毁的过期备份数据、以及因业务调整等原因不再需要的数据，可进行销毁。</w:t>
      </w:r>
    </w:p>
    <w:p>
      <w:pPr>
        <w:pStyle w:val="a3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销毁流程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由数据使用部门提出数据销毁申请，说明销毁数据的类型、数量、原因和销毁方式，经</w:t>
      </w:r>
      <w:r>
        <w:rPr>
          <w:rFonts w:hint="eastAsia"/>
          <w:lang w:eastAsia="zh-CN"/>
        </w:rPr>
        <w:t>交付部</w:t>
      </w:r>
      <w:r>
        <w:rPr>
          <w:rFonts w:hint="eastAsia"/>
          <w:lang w:val="en-US" w:eastAsia="zh-CN"/>
        </w:rPr>
        <w:t>经理</w:t>
      </w:r>
      <w:r>
        <w:t>审核，报</w:t>
      </w:r>
      <w:r>
        <w:rPr>
          <w:rFonts w:hint="eastAsia"/>
          <w:lang w:val="en-US" w:eastAsia="zh-CN"/>
        </w:rPr>
        <w:t>总经理</w:t>
      </w:r>
      <w:r>
        <w:t>批准后，由交付部按照规定的销毁方式进行销毁。</w:t>
      </w:r>
    </w:p>
    <w:p>
      <w:pPr>
        <w:pStyle w:val="a3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销毁方式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根据数据存储介质的不同，采用相应的销毁方式。电子数据可采用数据覆盖、物理销毁存储介质等方式；纸质数据采用粉碎等方式。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1" w:name="_Toc8095"/>
      <w:r>
        <w:t>数据安全与合规</w:t>
      </w:r>
      <w:bookmarkEnd w:id="21"/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2" w:name="bookmark15"/>
      <w:bookmarkEnd w:id="22"/>
      <w:bookmarkStart w:id="23" w:name="_Toc18733"/>
      <w:r>
        <w:t>安全防护</w:t>
      </w:r>
      <w:bookmarkEnd w:id="23"/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访问控制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建立严格的访问控制机制，对服务数据的访问进行身份认证和权限管理。采用多因素认证方式（如密码 + 动态令牌），限制未授权人员访问数据。定期对访问权限进行审查和调整，确保权限与职责相符。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数据加密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对敏感服务数据在传输和存储过程中进行加密处理，采用国家认可的加密算法（如AES-256），防止数据泄露。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安全审计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交付部经理</w:t>
      </w:r>
      <w:r>
        <w:t>负责对服务数据的访问、操作等行为进行安全审计，记录审计日志，定期分析审计结果，及时发现和处理安全隐患。</w:t>
      </w:r>
    </w:p>
    <w:p>
      <w:pPr>
        <w:pStyle w:val="a3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应急响应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制定数据安全应急响应预案，明确应急处理流程和责任分工。在发生数据泄露、篡改等安全事件时，及时启动应急预案，采取措施防止事态扩大，并按照规定向相关部门报告。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4" w:name="bookmark16"/>
      <w:bookmarkEnd w:id="24"/>
      <w:bookmarkStart w:id="25" w:name="_Toc3"/>
      <w:r>
        <w:t>合规管理</w:t>
      </w:r>
      <w:bookmarkEnd w:id="25"/>
    </w:p>
    <w:p>
      <w:pPr>
        <w:pStyle w:val="a3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法律法规遵循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严格遵守《中华人民共和国数据安全法》《中华人民共和国个人信息保护法》等相关法律法规，确保服务数据管理活动合法合规。</w:t>
      </w:r>
    </w:p>
    <w:p>
      <w:pPr>
        <w:pStyle w:val="a3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行业标准执行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遵循行业内相关数据管理标准和规范，结合组织实际情况，制定具体的实施细则。</w:t>
      </w:r>
    </w:p>
    <w:p>
      <w:pPr>
        <w:pStyle w:val="a3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隐私保护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t>加强对客户隐私信息的保护，在数据采集、使用、共享等环节，明确隐私保护要求，获得客户授权，不得非法收集、使用客户隐私信息</w:t>
      </w:r>
      <w:r>
        <w:rPr>
          <w:rFonts w:hint="eastAsia"/>
          <w:lang w:eastAsia="zh-CN"/>
        </w:rPr>
        <w:t>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26" w:name="_Toc22699"/>
      <w:r>
        <w:t>数据质量控制</w:t>
      </w:r>
      <w:bookmarkEnd w:id="26"/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7" w:name="bookmark18"/>
      <w:bookmarkEnd w:id="27"/>
      <w:bookmarkStart w:id="28" w:name="_Toc20519"/>
      <w:r>
        <w:t>质量指标</w:t>
      </w:r>
      <w:bookmarkEnd w:id="28"/>
    </w:p>
    <w:p>
      <w:pPr>
        <w:pStyle w:val="a3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准确性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服务数据与实际情况的符合程度，错误数据占比不超过 1%。</w:t>
      </w:r>
    </w:p>
    <w:p>
      <w:pPr>
        <w:pStyle w:val="a3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完整性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数据采集的完整程度，关键数据字段缺失率不超过 2%。</w:t>
      </w:r>
    </w:p>
    <w:p>
      <w:pPr>
        <w:pStyle w:val="a3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一致性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同一数据在不同系统和场景中的一致性，数据不一致率不超过 1%。</w:t>
      </w:r>
    </w:p>
    <w:p>
      <w:pPr>
        <w:pStyle w:val="a3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及时性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数据采集和更新的及时程度，数据延迟采集率不超过 5%。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29" w:name="bookmark19"/>
      <w:bookmarkEnd w:id="29"/>
      <w:bookmarkStart w:id="30" w:name="_Toc14984"/>
      <w:r>
        <w:t>质量监控</w:t>
      </w:r>
      <w:bookmarkEnd w:id="30"/>
    </w:p>
    <w:p>
      <w:pPr>
        <w:pStyle w:val="a3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  <w:ind w:left="425" w:hanging="425" w:leftChars="0" w:firstLineChars="0"/>
      </w:pPr>
      <w:r>
        <w:t>日常监控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通过数据管理系统对服务数据质量进行实时监控，设置数据质量预警阈值，当数据质量指标超出阈值时，及时发出预警信息。</w:t>
      </w:r>
    </w:p>
    <w:p>
      <w:pPr>
        <w:pStyle w:val="a3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  <w:ind w:left="425" w:hanging="425" w:leftChars="0" w:firstLineChars="0"/>
      </w:pPr>
      <w:r>
        <w:t>定期检查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每月组织一次服务数据质量检查，对数据准确性、完整性、一致性等进行全面检查，形成质量检查报告。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31" w:name="bookmark20"/>
      <w:bookmarkEnd w:id="31"/>
      <w:bookmarkStart w:id="32" w:name="_Toc18773"/>
      <w:r>
        <w:t>质量改进</w:t>
      </w:r>
      <w:bookmarkEnd w:id="32"/>
    </w:p>
    <w:p>
      <w:pPr>
        <w:pStyle w:val="a3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hanging="425" w:leftChars="0" w:firstLineChars="0"/>
      </w:pPr>
      <w:r>
        <w:t>问题整改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对监控和检查中发现的数据质量问题，</w:t>
      </w:r>
      <w:r>
        <w:rPr>
          <w:rFonts w:hint="eastAsia"/>
          <w:lang w:eastAsia="zh-CN"/>
        </w:rPr>
        <w:t>交付部</w:t>
      </w:r>
      <w:r>
        <w:t>向相关业务部门下达整改通知，明确整改要求和期限，跟踪整改情况，确保问题及时解决。</w:t>
      </w:r>
    </w:p>
    <w:p>
      <w:pPr>
        <w:pStyle w:val="a3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hanging="425" w:leftChars="0" w:firstLineChars="0"/>
      </w:pPr>
      <w:r>
        <w:t>流程优化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分析数据质量问题产生的原因，针对数据采集、处理等环节存在的漏洞，优化相关流程和制度，从源头上提高数据质量。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33" w:name="bookmark21"/>
      <w:bookmarkEnd w:id="33"/>
      <w:bookmarkStart w:id="34" w:name="_Toc12751"/>
      <w:r>
        <w:t>数据共享与应用</w:t>
      </w:r>
      <w:bookmarkEnd w:id="34"/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35" w:name="bookmark22"/>
      <w:bookmarkEnd w:id="35"/>
      <w:bookmarkStart w:id="36" w:name="_Toc32332"/>
      <w:r>
        <w:t>数据共享</w:t>
      </w:r>
      <w:bookmarkEnd w:id="36"/>
    </w:p>
    <w:p>
      <w:pPr>
        <w:pStyle w:val="a3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hanging="425" w:leftChars="0" w:firstLineChars="0"/>
      </w:pPr>
      <w:r>
        <w:t>共享范围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在组织内部，根据业务需求和权限设置，实现服务数据在各部门之间的合理共享，提高数据利用效率。</w:t>
      </w:r>
    </w:p>
    <w:p>
      <w:pPr>
        <w:pStyle w:val="a3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hanging="425" w:leftChars="0" w:firstLineChars="0"/>
      </w:pPr>
      <w:r>
        <w:t>共享流程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部门之间需要共享服务数据时，由需求部门向</w:t>
      </w:r>
      <w:r>
        <w:rPr>
          <w:rFonts w:hint="eastAsia"/>
          <w:lang w:eastAsia="zh-CN"/>
        </w:rPr>
        <w:t>交付部</w:t>
      </w:r>
      <w:r>
        <w:t>提出申请，</w:t>
      </w:r>
      <w:r>
        <w:rPr>
          <w:rFonts w:hint="eastAsia"/>
          <w:lang w:eastAsia="zh-CN"/>
        </w:rPr>
        <w:t>交付部</w:t>
      </w:r>
      <w:r>
        <w:t>审核后，协调数据提供部门提供数据，并对共享数据进行脱敏处理。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37" w:name="bookmark23"/>
      <w:bookmarkEnd w:id="37"/>
      <w:bookmarkStart w:id="38" w:name="_Toc13094"/>
      <w:r>
        <w:t>数据应用</w:t>
      </w:r>
      <w:bookmarkEnd w:id="38"/>
    </w:p>
    <w:p>
      <w:pPr>
        <w:pStyle w:val="a3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hanging="425" w:leftChars="0" w:firstLineChars="0"/>
      </w:pPr>
      <w:r>
        <w:t>服务优化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利用服务数据进行分析，识别服务过程中的薄弱环节，为服务流程改进、服务质量提升提供依据。例如，通过分析服务响应时间数据，优化响应流程，缩短响应时间。</w:t>
      </w:r>
    </w:p>
    <w:p>
      <w:pPr>
        <w:pStyle w:val="a3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hanging="425" w:leftChars="0" w:firstLineChars="0"/>
      </w:pPr>
      <w:r>
        <w:t>决策支持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基于服务数据统计分析结果，为服务规划、资源配置、应急交付等决策提供数据支持，提高决策的科学性和准确性。</w:t>
      </w:r>
    </w:p>
    <w:p>
      <w:pPr>
        <w:pStyle w:val="a3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hanging="425" w:leftChars="0" w:firstLineChars="0"/>
      </w:pPr>
      <w:r>
        <w:t>客户服务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利用客户反馈数据，了解客户需求和期望，改进客户服务方式，提升客户满意度。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39" w:name="bookmark24"/>
      <w:bookmarkEnd w:id="39"/>
      <w:bookmarkStart w:id="40" w:name="bookmark35"/>
      <w:bookmarkEnd w:id="40"/>
      <w:bookmarkStart w:id="41" w:name="_Toc1610"/>
      <w:r>
        <w:t>监督与审计</w:t>
      </w:r>
      <w:bookmarkEnd w:id="41"/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42" w:name="bookmark25"/>
      <w:bookmarkEnd w:id="42"/>
      <w:bookmarkStart w:id="43" w:name="_Toc14006"/>
      <w:r>
        <w:t>内部监督</w:t>
      </w:r>
      <w:bookmarkEnd w:id="43"/>
    </w:p>
    <w:p>
      <w:pPr>
        <w:pStyle w:val="a3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</w:pPr>
      <w:r>
        <w:t>部门自查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各业务部门每月对本部门服务数据管理情况进行自查，检查数据采集、存储、使用等环节是否符合制度要求，形成自查报告报送</w:t>
      </w:r>
      <w:r>
        <w:rPr>
          <w:rFonts w:hint="eastAsia"/>
          <w:lang w:eastAsia="zh-CN"/>
        </w:rPr>
        <w:t>交付部</w:t>
      </w:r>
      <w:r>
        <w:t>。</w:t>
      </w:r>
    </w:p>
    <w:p>
      <w:pPr>
        <w:pStyle w:val="a3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</w:pPr>
      <w:r>
        <w:t>专项检查：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交付部</w:t>
      </w:r>
      <w:r>
        <w:t>每季度组织一次服务数据管理专项检查，重点检查制度执行情况</w:t>
      </w:r>
      <w:r>
        <w:rPr>
          <w:rFonts w:hint="eastAsia"/>
          <w:lang w:eastAsia="zh-CN"/>
        </w:rPr>
        <w:t>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44" w:name="_Toc27420"/>
      <w:r>
        <w:t>制度评审与改进</w:t>
      </w:r>
      <w:bookmarkEnd w:id="44"/>
    </w:p>
    <w:p>
      <w:pPr>
        <w:pStyle w:val="a3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评审周期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本制度每年评审一次，由数据治理委员会组织开展，根据组织业务发展、法律法规变化、制度执行情况等，对制度进行评估和修订。</w:t>
      </w:r>
    </w:p>
    <w:p>
      <w:pPr>
        <w:pStyle w:val="a3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持续改进</w:t>
      </w:r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根据评审结果和实际管理需求，不断完善服务数据管理制度和流程，适应组织发展和外部环境变化，提高服务数据管理水平。</w:t>
      </w:r>
    </w:p>
    <w:p>
      <w:pPr>
        <w:pStyle w:val="3"/>
        <w:keepLines w:val="0"/>
        <w:pageBreakBefore w:val="0"/>
        <w:widowControl w:val="0"/>
        <w:wordWrap/>
        <w:overflowPunct/>
        <w:bidi w:val="0"/>
      </w:pPr>
      <w:bookmarkStart w:id="45" w:name="bookmark26"/>
      <w:bookmarkEnd w:id="45"/>
      <w:bookmarkStart w:id="46" w:name="_Toc29530"/>
      <w:r>
        <w:t>外部审计</w:t>
      </w:r>
      <w:bookmarkEnd w:id="46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每年聘请第三方审计机构对服务数据管理制度的执行情况进行审计，出具审计报告，根据审计结果进行制度完善和管理改进。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47" w:name="bookmark28"/>
      <w:bookmarkEnd w:id="47"/>
      <w:bookmarkStart w:id="48" w:name="bookmark27"/>
      <w:bookmarkEnd w:id="48"/>
      <w:bookmarkStart w:id="49" w:name="_Toc18178"/>
      <w:r>
        <w:t>培训与宣贯</w:t>
      </w:r>
      <w:bookmarkEnd w:id="49"/>
    </w:p>
    <w:p>
      <w:pPr>
        <w:pStyle w:val="a3"/>
        <w:numPr>
          <w:ilvl w:val="0"/>
          <w:numId w:val="20"/>
        </w:numPr>
        <w:bidi w:val="0"/>
      </w:pPr>
      <w:r>
        <w:t>培训计划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制定年度服务数据管理培训计划，定期组织相关部门和人员参加培训，培训内容包括制度规定、数据采集方法、数据安全知识、数据分析工具使用等。</w:t>
      </w:r>
    </w:p>
    <w:p>
      <w:pPr>
        <w:pStyle w:val="a3"/>
        <w:numPr>
          <w:ilvl w:val="0"/>
          <w:numId w:val="20"/>
        </w:numPr>
        <w:bidi w:val="0"/>
      </w:pPr>
      <w:r>
        <w:t>宣贯活动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通过内部网站、宣传栏、会议等多种形式，加强对服务数据管理制度的宣贯，提高全员数据管理意识和合规意识。</w:t>
      </w:r>
    </w:p>
    <w:p>
      <w:pPr>
        <w:pStyle w:val="2"/>
        <w:keepLines w:val="0"/>
        <w:pageBreakBefore w:val="0"/>
        <w:widowControl w:val="0"/>
        <w:wordWrap/>
        <w:overflowPunct/>
        <w:bidi w:val="0"/>
      </w:pPr>
      <w:bookmarkStart w:id="50" w:name="bookmark29"/>
      <w:bookmarkEnd w:id="50"/>
      <w:bookmarkStart w:id="51" w:name="_Toc12500"/>
      <w:r>
        <w:t>考核指标</w:t>
      </w:r>
      <w:bookmarkEnd w:id="51"/>
    </w:p>
    <w:tbl>
      <w:tblPr>
        <w:tblStyle w:val="TableGrid"/>
        <w:tblW w:w="863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3739"/>
        <w:gridCol w:w="1353"/>
        <w:gridCol w:w="1583"/>
      </w:tblGrid>
      <w:tr>
        <w:tblPrEx>
          <w:tblW w:w="8639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指标度量性</w:t>
            </w:r>
          </w:p>
        </w:tc>
        <w:tc>
          <w:tcPr>
            <w:tcW w:w="3739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353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指标要求</w:t>
            </w:r>
          </w:p>
        </w:tc>
      </w:tr>
      <w:tr>
        <w:tblPrEx>
          <w:tblW w:w="8639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/>
        </w:trPr>
        <w:tc>
          <w:tcPr>
            <w:tcW w:w="1964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3739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ind w:left="0" w:firstLine="0" w:lef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服务数据的准确数量/服务数据总数×100%</w:t>
            </w:r>
          </w:p>
        </w:tc>
        <w:tc>
          <w:tcPr>
            <w:tcW w:w="1353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1583" w:type="dxa"/>
          </w:tcPr>
          <w:p>
            <w:pPr>
              <w:pStyle w:val="a1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≥9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%</w:t>
            </w:r>
          </w:p>
        </w:tc>
      </w:tr>
    </w:tbl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2" w:name="bookmark14"/>
      <w:bookmarkEnd w:id="52"/>
      <w:bookmarkStart w:id="53" w:name="_Toc1837"/>
      <w:r>
        <w:rPr>
          <w:rFonts w:hint="eastAsia"/>
          <w:lang w:val="en-US" w:eastAsia="zh-CN"/>
        </w:rPr>
        <w:t>附则</w:t>
      </w:r>
      <w:bookmarkEnd w:id="53"/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4" w:name="_Toc16931"/>
      <w:r>
        <w:rPr>
          <w:rFonts w:hint="eastAsia"/>
          <w:lang w:val="en-US" w:eastAsia="zh-CN"/>
        </w:rPr>
        <w:t>附件</w:t>
      </w:r>
      <w:bookmarkEnd w:id="5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5" w:name="_Toc10992"/>
      <w:r>
        <w:rPr>
          <w:rFonts w:hint="eastAsia"/>
          <w:lang w:val="en-US" w:eastAsia="zh-CN"/>
        </w:rPr>
        <w:t>记录</w:t>
      </w:r>
      <w:bookmarkEnd w:id="55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footerReference w:type="default" r:id="rId5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209" w:lineRule="auto"/>
      <w:ind w:left="7581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6"/>
        <w:sz w:val="18"/>
        <w:szCs w:val="18"/>
      </w:rPr>
      <w:t>第</w:t>
    </w:r>
    <w:r>
      <w:rPr>
        <w:rFonts w:ascii="宋体" w:eastAsia="宋体" w:hAnsi="宋体" w:cs="宋体"/>
        <w:spacing w:val="-35"/>
        <w:sz w:val="18"/>
        <w:szCs w:val="18"/>
      </w:rPr>
      <w:t xml:space="preserve"> </w:t>
    </w:r>
    <w:r>
      <w:rPr>
        <w:rFonts w:ascii="Calibri" w:eastAsia="Calibri" w:hAnsi="Calibri" w:cs="Calibri"/>
        <w:spacing w:val="-6"/>
        <w:sz w:val="18"/>
        <w:szCs w:val="18"/>
      </w:rPr>
      <w:t>5</w:t>
    </w:r>
    <w:r>
      <w:rPr>
        <w:rFonts w:ascii="宋体" w:eastAsia="宋体" w:hAnsi="宋体" w:cs="宋体"/>
        <w:spacing w:val="-6"/>
        <w:sz w:val="18"/>
        <w:szCs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7EB904"/>
    <w:multiLevelType w:val="singleLevel"/>
    <w:tmpl w:val="9A7EB9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D93379"/>
    <w:multiLevelType w:val="singleLevel"/>
    <w:tmpl w:val="9AD933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E29C1E"/>
    <w:multiLevelType w:val="singleLevel"/>
    <w:tmpl w:val="9DE29C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627EDA"/>
    <w:multiLevelType w:val="singleLevel"/>
    <w:tmpl w:val="BB627E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32AFC4"/>
    <w:multiLevelType w:val="singleLevel"/>
    <w:tmpl w:val="BF32AF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B33C62"/>
    <w:multiLevelType w:val="singleLevel"/>
    <w:tmpl w:val="CEB33C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2E0D6C"/>
    <w:multiLevelType w:val="singleLevel"/>
    <w:tmpl w:val="E42E0D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F12304"/>
    <w:multiLevelType w:val="singleLevel"/>
    <w:tmpl w:val="EEF1230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793BDDD"/>
    <w:multiLevelType w:val="singleLevel"/>
    <w:tmpl w:val="F793BD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85434B7"/>
    <w:multiLevelType w:val="singleLevel"/>
    <w:tmpl w:val="F85434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2DB6DE8"/>
    <w:multiLevelType w:val="singleLevel"/>
    <w:tmpl w:val="02DB6DE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4B11A6B"/>
    <w:multiLevelType w:val="singleLevel"/>
    <w:tmpl w:val="14B11A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B8165C8"/>
    <w:multiLevelType w:val="singleLevel"/>
    <w:tmpl w:val="1B8165C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0766AC"/>
    <w:multiLevelType w:val="singleLevel"/>
    <w:tmpl w:val="430766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98CC4F3"/>
    <w:multiLevelType w:val="singleLevel"/>
    <w:tmpl w:val="498CC4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647180F"/>
    <w:multiLevelType w:val="singleLevel"/>
    <w:tmpl w:val="5647180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E8F8094"/>
    <w:multiLevelType w:val="singleLevel"/>
    <w:tmpl w:val="5E8F80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0ED038C"/>
    <w:multiLevelType w:val="singleLevel"/>
    <w:tmpl w:val="70ED038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52606B0"/>
    <w:multiLevelType w:val="singleLevel"/>
    <w:tmpl w:val="752606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F2D4426"/>
    <w:multiLevelType w:val="singleLevel"/>
    <w:tmpl w:val="7F2D44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16"/>
  </w:num>
  <w:num w:numId="5">
    <w:abstractNumId w:val="19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15"/>
  </w:num>
  <w:num w:numId="11">
    <w:abstractNumId w:val="11"/>
  </w:num>
  <w:num w:numId="12">
    <w:abstractNumId w:val="18"/>
  </w:num>
  <w:num w:numId="13">
    <w:abstractNumId w:val="14"/>
  </w:num>
  <w:num w:numId="14">
    <w:abstractNumId w:val="3"/>
  </w:num>
  <w:num w:numId="15">
    <w:abstractNumId w:val="12"/>
  </w:num>
  <w:num w:numId="16">
    <w:abstractNumId w:val="8"/>
  </w:num>
  <w:num w:numId="17">
    <w:abstractNumId w:val="1"/>
  </w:num>
  <w:num w:numId="18">
    <w:abstractNumId w:val="2"/>
  </w:num>
  <w:num w:numId="19">
    <w:abstractNumId w:val="9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4051</Words>
  <Characters>4250</Characters>
  <Application>Microsoft Office Word</Application>
  <DocSecurity>0</DocSecurity>
  <Lines>0</Lines>
  <Paragraphs>0</Paragraphs>
  <ScaleCrop>false</ScaleCrop>
  <Company/>
  <LinksUpToDate>false</LinksUpToDate>
  <CharactersWithSpaces>4391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2025-12-01T17:07:15Z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