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2210" w14:textId="77777777" w:rsidR="00894AA1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2-05</w:t>
      </w:r>
    </w:p>
    <w:p w14:paraId="720F7CCD" w14:textId="77777777" w:rsidR="00894AA1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5733BF21" w14:textId="77777777" w:rsidR="00894AA1" w:rsidRDefault="00000000">
      <w:pPr>
        <w:pStyle w:val="ab"/>
        <w:widowControl w:val="0"/>
        <w:spacing w:after="1872"/>
        <w:rPr>
          <w:lang w:eastAsia="zh-CN"/>
        </w:rPr>
      </w:pPr>
      <w:bookmarkStart w:id="0" w:name="_Toc2104"/>
      <w:r>
        <w:rPr>
          <w:lang w:eastAsia="zh-CN"/>
        </w:rPr>
        <w:t>陕西益利德软件科技有限公司</w:t>
      </w:r>
      <w:bookmarkEnd w:id="0"/>
    </w:p>
    <w:p w14:paraId="77383C29" w14:textId="77777777" w:rsidR="00894AA1" w:rsidRDefault="00000000">
      <w:pPr>
        <w:pStyle w:val="ac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16616"/>
      <w:r>
        <w:rPr>
          <w:rFonts w:hint="eastAsia"/>
          <w:sz w:val="44"/>
          <w:szCs w:val="44"/>
          <w:lang w:eastAsia="zh-CN"/>
        </w:rPr>
        <w:t>烟台林海嵎峡田综合体智慧农业大数据平台建设项目总体实施方案</w:t>
      </w:r>
      <w:bookmarkEnd w:id="1"/>
    </w:p>
    <w:tbl>
      <w:tblPr>
        <w:tblStyle w:val="a9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8"/>
        <w:gridCol w:w="4261"/>
      </w:tblGrid>
      <w:tr w:rsidR="00894AA1" w14:paraId="62A789D5" w14:textId="77777777">
        <w:trPr>
          <w:trHeight w:val="810"/>
          <w:jc w:val="center"/>
        </w:trPr>
        <w:tc>
          <w:tcPr>
            <w:tcW w:w="1818" w:type="dxa"/>
          </w:tcPr>
          <w:p w14:paraId="4368F5AB" w14:textId="77777777" w:rsidR="00894AA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编制人:</w:t>
            </w:r>
            <w:r>
              <w:rPr>
                <w:rFonts w:ascii="宋体" w:hAnsi="宋体" w:cs="宋体" w:hint="eastAsia"/>
                <w:sz w:val="21"/>
                <w:u w:val="single"/>
              </w:rPr>
              <w:t>孙光莉</w:t>
            </w:r>
          </w:p>
        </w:tc>
        <w:tc>
          <w:tcPr>
            <w:tcW w:w="4261" w:type="dxa"/>
          </w:tcPr>
          <w:p w14:paraId="2CA575DE" w14:textId="77777777" w:rsidR="00894AA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:rsidR="00894AA1" w14:paraId="4EED7671" w14:textId="77777777">
        <w:trPr>
          <w:trHeight w:val="810"/>
          <w:jc w:val="center"/>
        </w:trPr>
        <w:tc>
          <w:tcPr>
            <w:tcW w:w="1818" w:type="dxa"/>
          </w:tcPr>
          <w:p w14:paraId="505F9575" w14:textId="77777777" w:rsidR="00894AA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审核人:</w:t>
            </w:r>
            <w:r>
              <w:rPr>
                <w:rFonts w:ascii="宋体" w:hAnsi="宋体" w:cs="宋体" w:hint="eastAsia"/>
                <w:sz w:val="21"/>
                <w:u w:val="single"/>
              </w:rPr>
              <w:t>严长运</w:t>
            </w:r>
          </w:p>
        </w:tc>
        <w:tc>
          <w:tcPr>
            <w:tcW w:w="4261" w:type="dxa"/>
          </w:tcPr>
          <w:p w14:paraId="7DF5849D" w14:textId="77777777" w:rsidR="00894AA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:rsidR="00894AA1" w14:paraId="7391A8B4" w14:textId="77777777">
        <w:trPr>
          <w:trHeight w:val="635"/>
          <w:jc w:val="center"/>
        </w:trPr>
        <w:tc>
          <w:tcPr>
            <w:tcW w:w="1818" w:type="dxa"/>
          </w:tcPr>
          <w:p w14:paraId="06E5AD30" w14:textId="77777777" w:rsidR="00894AA1" w:rsidRDefault="00000000">
            <w:pPr>
              <w:pStyle w:val="ad"/>
              <w:ind w:firstLineChars="0" w:firstLine="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批准人:</w:t>
            </w:r>
            <w:r>
              <w:rPr>
                <w:rFonts w:ascii="宋体" w:hAnsi="宋体" w:cs="宋体" w:hint="eastAsia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3431BFA3" w14:textId="77777777" w:rsidR="00894AA1" w:rsidRDefault="00000000">
            <w:pPr>
              <w:pStyle w:val="ad"/>
              <w:ind w:firstLine="420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2025.7.3</w:t>
            </w:r>
          </w:p>
        </w:tc>
      </w:tr>
    </w:tbl>
    <w:p w14:paraId="3601EF16" w14:textId="77777777" w:rsidR="00894AA1" w:rsidRDefault="00000000">
      <w:pPr>
        <w:pStyle w:val="ad"/>
        <w:widowControl w:val="0"/>
        <w:ind w:firstLine="480"/>
      </w:pPr>
      <w:r>
        <w:br w:type="page"/>
      </w:r>
    </w:p>
    <w:p w14:paraId="033DF5D7" w14:textId="77777777" w:rsidR="00894AA1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894AA1" w14:paraId="7DBE933C" w14:textId="77777777">
        <w:trPr>
          <w:trHeight w:val="593"/>
        </w:trPr>
        <w:tc>
          <w:tcPr>
            <w:tcW w:w="1555" w:type="dxa"/>
          </w:tcPr>
          <w:p w14:paraId="7B0CDA38" w14:textId="77777777" w:rsidR="00894AA1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71CA17D" w14:textId="77777777" w:rsidR="00894AA1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06C0EA7" w14:textId="77777777" w:rsidR="00894AA1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C7AF922" w14:textId="77777777" w:rsidR="00894AA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4B44660" w14:textId="77777777" w:rsidR="00894AA1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2FC8D1F" w14:textId="77777777" w:rsidR="00894AA1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894AA1" w14:paraId="0B117D43" w14:textId="77777777">
        <w:trPr>
          <w:trHeight w:val="556"/>
        </w:trPr>
        <w:tc>
          <w:tcPr>
            <w:tcW w:w="1555" w:type="dxa"/>
          </w:tcPr>
          <w:p w14:paraId="13234EC0" w14:textId="2CE75C54" w:rsidR="00894AA1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FD0F73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4C90C93B" w14:textId="77777777" w:rsidR="00894AA1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984C016" w14:textId="77777777" w:rsidR="00894AA1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4C9FC29" w14:textId="77777777" w:rsidR="00894AA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73DB8782" w14:textId="77777777" w:rsidR="00894AA1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47EA8588" w14:textId="77777777" w:rsidR="00894AA1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894AA1" w14:paraId="3EE906F4" w14:textId="77777777">
        <w:trPr>
          <w:trHeight w:val="556"/>
        </w:trPr>
        <w:tc>
          <w:tcPr>
            <w:tcW w:w="1555" w:type="dxa"/>
          </w:tcPr>
          <w:p w14:paraId="38FF386D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2247335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B648847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ACCE556" w14:textId="77777777" w:rsidR="00894AA1" w:rsidRDefault="00894AA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186CA0A" w14:textId="77777777" w:rsidR="00894AA1" w:rsidRDefault="00894AA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1CB81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94AA1" w14:paraId="6208DC41" w14:textId="77777777">
        <w:trPr>
          <w:trHeight w:val="556"/>
        </w:trPr>
        <w:tc>
          <w:tcPr>
            <w:tcW w:w="1555" w:type="dxa"/>
          </w:tcPr>
          <w:p w14:paraId="0CBC987C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32785B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401473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E5D4E00" w14:textId="77777777" w:rsidR="00894AA1" w:rsidRDefault="00894AA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C86481E" w14:textId="77777777" w:rsidR="00894AA1" w:rsidRDefault="00894AA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68972E1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94AA1" w14:paraId="1F4FC319" w14:textId="77777777">
        <w:trPr>
          <w:trHeight w:val="557"/>
        </w:trPr>
        <w:tc>
          <w:tcPr>
            <w:tcW w:w="1555" w:type="dxa"/>
          </w:tcPr>
          <w:p w14:paraId="08F6A480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91171C7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46D0BC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0C29670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4120DDF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3AAECEC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94AA1" w14:paraId="378B7C5E" w14:textId="77777777">
        <w:trPr>
          <w:trHeight w:val="556"/>
        </w:trPr>
        <w:tc>
          <w:tcPr>
            <w:tcW w:w="1555" w:type="dxa"/>
          </w:tcPr>
          <w:p w14:paraId="51FC53BF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825B308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9522248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EF9FEF9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7B74FA0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E769DAB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94AA1" w14:paraId="10093BBA" w14:textId="77777777">
        <w:trPr>
          <w:trHeight w:val="561"/>
        </w:trPr>
        <w:tc>
          <w:tcPr>
            <w:tcW w:w="1555" w:type="dxa"/>
          </w:tcPr>
          <w:p w14:paraId="7D2EF46B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D6397A6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0BD68A3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D640AEF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20444DF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8D2F4E1" w14:textId="77777777" w:rsidR="00894AA1" w:rsidRDefault="00894AA1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4D44F5D5" w14:textId="77777777" w:rsidR="00894AA1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6997CD1C" w14:textId="77777777" w:rsidR="00894AA1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7FA4981D" w14:textId="77777777" w:rsidR="00894AA1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2104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_Toc2104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86C94C8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16616" w:history="1">
            <w:r>
              <w:rPr>
                <w:rFonts w:hint="eastAsia"/>
                <w:szCs w:val="44"/>
                <w:lang w:eastAsia="zh-CN"/>
              </w:rPr>
              <w:t>烟台林海嵎峡田综合体智慧农业大数据平台建设项目总体实施方案</w:t>
            </w:r>
            <w:r>
              <w:tab/>
            </w:r>
            <w:r>
              <w:fldChar w:fldCharType="begin"/>
            </w:r>
            <w:r>
              <w:instrText xml:space="preserve"> PAGEREF _Toc16616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894AD6D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11907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项目总览</w:t>
            </w:r>
            <w:r>
              <w:tab/>
            </w:r>
            <w:r>
              <w:fldChar w:fldCharType="begin"/>
            </w:r>
            <w:r>
              <w:instrText xml:space="preserve"> PAGEREF _Toc11907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ACDF03C" w14:textId="77777777" w:rsidR="00894AA1" w:rsidRDefault="00000000">
          <w:pPr>
            <w:pStyle w:val="TOC2"/>
            <w:tabs>
              <w:tab w:val="right" w:leader="dot" w:pos="8306"/>
            </w:tabs>
          </w:pPr>
          <w:hyperlink w:anchor="_Toc3422" w:history="1">
            <w:r>
              <w:rPr>
                <w:lang w:eastAsia="zh-CN"/>
              </w:rPr>
              <w:t xml:space="preserve">1.1. </w:t>
            </w:r>
            <w:r>
              <w:rPr>
                <w:lang w:eastAsia="zh-CN"/>
              </w:rPr>
              <w:t>项目目标</w:t>
            </w:r>
            <w:r>
              <w:tab/>
            </w:r>
            <w:r>
              <w:fldChar w:fldCharType="begin"/>
            </w:r>
            <w:r>
              <w:instrText xml:space="preserve"> PAGEREF _Toc3422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9860C21" w14:textId="77777777" w:rsidR="00894AA1" w:rsidRDefault="00000000">
          <w:pPr>
            <w:pStyle w:val="TOC2"/>
            <w:tabs>
              <w:tab w:val="right" w:leader="dot" w:pos="8306"/>
            </w:tabs>
          </w:pPr>
          <w:hyperlink w:anchor="_Toc28089" w:history="1">
            <w:r>
              <w:rPr>
                <w:lang w:eastAsia="zh-CN"/>
              </w:rPr>
              <w:t xml:space="preserve">1.2. </w:t>
            </w:r>
            <w:r>
              <w:rPr>
                <w:lang w:eastAsia="zh-CN"/>
              </w:rPr>
              <w:t>实施范围</w:t>
            </w:r>
            <w:r>
              <w:tab/>
            </w:r>
            <w:r>
              <w:fldChar w:fldCharType="begin"/>
            </w:r>
            <w:r>
              <w:instrText xml:space="preserve"> PAGEREF _Toc28089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68C4234" w14:textId="77777777" w:rsidR="00894AA1" w:rsidRDefault="00000000">
          <w:pPr>
            <w:pStyle w:val="TOC2"/>
            <w:tabs>
              <w:tab w:val="right" w:leader="dot" w:pos="8306"/>
            </w:tabs>
          </w:pPr>
          <w:hyperlink w:anchor="_Toc14870" w:history="1">
            <w:r>
              <w:rPr>
                <w:lang w:eastAsia="zh-CN"/>
              </w:rPr>
              <w:t xml:space="preserve">1.3. </w:t>
            </w:r>
            <w:r>
              <w:rPr>
                <w:lang w:eastAsia="zh-CN"/>
              </w:rPr>
              <w:t>项目管理原则</w:t>
            </w:r>
            <w:r>
              <w:tab/>
            </w:r>
            <w:r>
              <w:fldChar w:fldCharType="begin"/>
            </w:r>
            <w:r>
              <w:instrText xml:space="preserve"> PAGEREF _Toc14870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D4943D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8228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项目组织与职责</w:t>
            </w:r>
            <w:r>
              <w:tab/>
            </w:r>
            <w:r>
              <w:fldChar w:fldCharType="begin"/>
            </w:r>
            <w:r>
              <w:instrText xml:space="preserve"> PAGEREF _Toc8228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F47CFB7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4666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项目实施总体规划</w:t>
            </w:r>
            <w:r>
              <w:tab/>
            </w:r>
            <w:r>
              <w:fldChar w:fldCharType="begin"/>
            </w:r>
            <w:r>
              <w:instrText xml:space="preserve"> PAGEREF _Toc4666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0F85428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32299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风险管理策略</w:t>
            </w:r>
            <w:r>
              <w:tab/>
            </w:r>
            <w:r>
              <w:fldChar w:fldCharType="begin"/>
            </w:r>
            <w:r>
              <w:instrText xml:space="preserve"> PAGEREF _Toc32299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C1509B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9966" w:history="1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质量控制与交付物管理</w:t>
            </w:r>
            <w:r>
              <w:tab/>
            </w:r>
            <w:r>
              <w:fldChar w:fldCharType="begin"/>
            </w:r>
            <w:r>
              <w:instrText xml:space="preserve"> PAGEREF _Toc9966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03E2E7D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3407" w:history="1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项目交付成果</w:t>
            </w:r>
            <w:r>
              <w:tab/>
            </w:r>
            <w:r>
              <w:fldChar w:fldCharType="begin"/>
            </w:r>
            <w:r>
              <w:instrText xml:space="preserve"> PAGEREF _Toc3407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C8A45A0" w14:textId="77777777" w:rsidR="00894AA1" w:rsidRDefault="00000000">
          <w:pPr>
            <w:pStyle w:val="TOC1"/>
            <w:tabs>
              <w:tab w:val="right" w:leader="dot" w:pos="8306"/>
            </w:tabs>
          </w:pPr>
          <w:hyperlink w:anchor="_Toc1242" w:history="1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项目收尾与知识转移</w:t>
            </w:r>
            <w:r>
              <w:tab/>
            </w:r>
            <w:r>
              <w:fldChar w:fldCharType="begin"/>
            </w:r>
            <w:r>
              <w:instrText xml:space="preserve"> PAGEREF _Toc1242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F9E119F" w14:textId="77777777" w:rsidR="00894AA1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4E16DC66" w14:textId="77777777" w:rsidR="00894AA1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E121483" w14:textId="77777777" w:rsidR="00894AA1" w:rsidRDefault="00000000">
      <w:pPr>
        <w:pStyle w:val="10"/>
        <w:rPr>
          <w:lang w:eastAsia="zh-CN"/>
        </w:rPr>
      </w:pPr>
      <w:bookmarkStart w:id="2" w:name="_Toc11907"/>
      <w:r>
        <w:rPr>
          <w:lang w:eastAsia="zh-CN"/>
        </w:rPr>
        <w:lastRenderedPageBreak/>
        <w:t>项目总览</w:t>
      </w:r>
      <w:bookmarkEnd w:id="2"/>
    </w:p>
    <w:p w14:paraId="76A9CF29" w14:textId="77777777" w:rsidR="00894AA1" w:rsidRDefault="00000000">
      <w:pPr>
        <w:pStyle w:val="20"/>
        <w:rPr>
          <w:lang w:eastAsia="zh-CN"/>
        </w:rPr>
      </w:pPr>
      <w:bookmarkStart w:id="3" w:name="_Toc3422"/>
      <w:r>
        <w:rPr>
          <w:lang w:eastAsia="zh-CN"/>
        </w:rPr>
        <w:t>项目目标</w:t>
      </w:r>
      <w:bookmarkEnd w:id="3"/>
    </w:p>
    <w:p w14:paraId="6B7D5579" w14:textId="77777777" w:rsidR="00894AA1" w:rsidRDefault="00000000">
      <w:pPr>
        <w:pStyle w:val="ad"/>
        <w:widowControl w:val="0"/>
        <w:ind w:firstLine="480"/>
      </w:pPr>
      <w:r>
        <w:t>本方案旨在全面指导</w:t>
      </w:r>
      <w:r>
        <w:t>“</w:t>
      </w:r>
      <w:r>
        <w:t>烟台林海嵎峡田综合体智慧农业大数据平台建设项目</w:t>
      </w:r>
      <w:r>
        <w:t>”</w:t>
      </w:r>
      <w:r>
        <w:t>的实施。我们的核心目标是，在合同约定的</w:t>
      </w:r>
      <w:r>
        <w:t>90</w:t>
      </w:r>
      <w:r>
        <w:t>日内，高质量地完成所有硬件设备的供应与安装、软件平台的开发与部署、基础设施的建设以及技术服务工作，最终交付一个稳定、可靠、易用且完全符合合同要求的智慧农业大数据平台，确保项目通过甲方与业主方的正式验收。</w:t>
      </w:r>
    </w:p>
    <w:p w14:paraId="4244ED48" w14:textId="77777777" w:rsidR="00894AA1" w:rsidRDefault="00000000">
      <w:pPr>
        <w:pStyle w:val="20"/>
        <w:rPr>
          <w:lang w:eastAsia="zh-CN"/>
        </w:rPr>
      </w:pPr>
      <w:bookmarkStart w:id="4" w:name="_Toc28089"/>
      <w:r>
        <w:rPr>
          <w:lang w:eastAsia="zh-CN"/>
        </w:rPr>
        <w:t>实施范围</w:t>
      </w:r>
      <w:bookmarkEnd w:id="4"/>
    </w:p>
    <w:p w14:paraId="694FB367" w14:textId="77777777" w:rsidR="00894AA1" w:rsidRDefault="00000000">
      <w:pPr>
        <w:pStyle w:val="ad"/>
        <w:widowControl w:val="0"/>
        <w:ind w:firstLine="480"/>
      </w:pPr>
      <w:r>
        <w:t>本项目的实施范围严格遵循主合同及其附件《供货清单》。具体包括：合同所列全部仪器设备和软件产品的采购、运输、安装与调试；智慧农业大数据平台应用软件的定制化开发、部署与培训；相关基础设施的施工建设；以及涵盖数据清洗、系统集成在内的全套技术服务。本方案是指导上述所有工作有序进行的综合性计划。</w:t>
      </w:r>
    </w:p>
    <w:p w14:paraId="31A264DD" w14:textId="77777777" w:rsidR="00894AA1" w:rsidRDefault="00000000">
      <w:pPr>
        <w:pStyle w:val="20"/>
        <w:rPr>
          <w:lang w:eastAsia="zh-CN"/>
        </w:rPr>
      </w:pPr>
      <w:bookmarkStart w:id="5" w:name="_Toc14870"/>
      <w:r>
        <w:rPr>
          <w:lang w:eastAsia="zh-CN"/>
        </w:rPr>
        <w:t>项目管理原则</w:t>
      </w:r>
      <w:bookmarkEnd w:id="5"/>
    </w:p>
    <w:p w14:paraId="3E044216" w14:textId="77777777" w:rsidR="00894AA1" w:rsidRDefault="00000000">
      <w:pPr>
        <w:pStyle w:val="ad"/>
        <w:widowControl w:val="0"/>
        <w:ind w:firstLine="480"/>
      </w:pPr>
      <w:r>
        <w:t>本项目将遵循以下核心原则进行管理：</w:t>
      </w:r>
    </w:p>
    <w:p w14:paraId="44680AA0" w14:textId="77777777" w:rsidR="00894AA1" w:rsidRDefault="00000000">
      <w:pPr>
        <w:pStyle w:val="ad"/>
        <w:widowControl w:val="0"/>
        <w:ind w:firstLine="480"/>
      </w:pPr>
      <w:r>
        <w:t>计划先行，所有行动均以本方案及细化计划为依据；</w:t>
      </w:r>
    </w:p>
    <w:p w14:paraId="666C84A6" w14:textId="77777777" w:rsidR="00894AA1" w:rsidRDefault="00000000">
      <w:pPr>
        <w:pStyle w:val="ad"/>
        <w:widowControl w:val="0"/>
        <w:ind w:firstLine="480"/>
      </w:pPr>
      <w:r>
        <w:t>质量为本，严格执行四级质量检查体系；</w:t>
      </w:r>
    </w:p>
    <w:p w14:paraId="6C29BD0D" w14:textId="77777777" w:rsidR="00894AA1" w:rsidRDefault="00000000">
      <w:pPr>
        <w:pStyle w:val="ad"/>
        <w:widowControl w:val="0"/>
        <w:ind w:firstLine="480"/>
      </w:pPr>
      <w:r>
        <w:t>风险预控，主动识别并缓解项目潜在风险；四是沟通顺畅，确保内部及与甲方之间信息传递及时、准确。</w:t>
      </w:r>
    </w:p>
    <w:p w14:paraId="18469961" w14:textId="77777777" w:rsidR="00894AA1" w:rsidRDefault="00000000">
      <w:pPr>
        <w:pStyle w:val="10"/>
        <w:rPr>
          <w:lang w:eastAsia="zh-CN"/>
        </w:rPr>
      </w:pPr>
      <w:bookmarkStart w:id="6" w:name="_Toc8228"/>
      <w:r>
        <w:rPr>
          <w:lang w:eastAsia="zh-CN"/>
        </w:rPr>
        <w:t>项目组织与职责</w:t>
      </w:r>
      <w:bookmarkEnd w:id="6"/>
    </w:p>
    <w:p w14:paraId="6776E93D" w14:textId="77777777" w:rsidR="00894AA1" w:rsidRDefault="00000000">
      <w:pPr>
        <w:pStyle w:val="ad"/>
        <w:widowControl w:val="0"/>
        <w:ind w:firstLine="480"/>
      </w:pPr>
      <w:r>
        <w:t>为保障项目高效推进，我司特成立专职项目团队，组织架构与职责如下：</w:t>
      </w:r>
    </w:p>
    <w:p w14:paraId="57DEC28B" w14:textId="77777777" w:rsidR="00894AA1" w:rsidRDefault="00000000">
      <w:pPr>
        <w:pStyle w:val="ad"/>
        <w:widowControl w:val="0"/>
        <w:ind w:firstLine="480"/>
      </w:pPr>
      <w:r>
        <w:t>项目由公司任命一名资深项目经理全权负责。项目经理下设技术负责人、硬件实施组、软件开发组、数据治理组以及质量与文档组。</w:t>
      </w:r>
    </w:p>
    <w:p w14:paraId="17DA323A" w14:textId="77777777" w:rsidR="00894AA1" w:rsidRDefault="00000000">
      <w:pPr>
        <w:pStyle w:val="ad"/>
        <w:widowControl w:val="0"/>
        <w:ind w:firstLine="480"/>
      </w:pPr>
      <w:r>
        <w:t>技术负责人负责审核总体技术架构，解决重大技术难题，并确保各子系统间的兼容性与集成性。硬件实施组负责所有硬件设备的到货验收、安装施工、</w:t>
      </w:r>
      <w:r>
        <w:lastRenderedPageBreak/>
        <w:t>单体调试及与软件系统的联调配合。软件开发组负责智慧农业大数据平台的需求细化、编码实现、单元测试和用户界面优化。数据治理组作为专项小组，负责依据已获批的《数据清洗策略方案》开展具体的数据清洗规则开发、实施与验证工作。质量与文档组负责制定质量标准、监控过程质量、管理所有项目文档的编制、收集与交付，并确保其符合合同要求。</w:t>
      </w:r>
    </w:p>
    <w:p w14:paraId="28C5ABD8" w14:textId="77777777" w:rsidR="00894AA1" w:rsidRDefault="00000000">
      <w:pPr>
        <w:pStyle w:val="10"/>
        <w:rPr>
          <w:lang w:eastAsia="zh-CN"/>
        </w:rPr>
      </w:pPr>
      <w:bookmarkStart w:id="7" w:name="_Toc4666"/>
      <w:r>
        <w:rPr>
          <w:lang w:eastAsia="zh-CN"/>
        </w:rPr>
        <w:t>项目实施总体规划</w:t>
      </w:r>
      <w:bookmarkEnd w:id="7"/>
    </w:p>
    <w:p w14:paraId="425E4FF7" w14:textId="77777777" w:rsidR="00894AA1" w:rsidRDefault="00000000">
      <w:pPr>
        <w:pStyle w:val="ad"/>
        <w:widowControl w:val="0"/>
        <w:ind w:firstLine="480"/>
      </w:pPr>
      <w:r>
        <w:t>本项目总工期为</w:t>
      </w:r>
      <w:r>
        <w:t>90</w:t>
      </w:r>
      <w:r>
        <w:t>个日历日，自接到甲方开工通知之日起计算。为确保项目可控，我们将整体工作划分为五个</w:t>
      </w:r>
      <w:r>
        <w:t xml:space="preserve"> sequential </w:t>
      </w:r>
      <w:r>
        <w:t>又彼此衔接的关键阶段。</w:t>
      </w:r>
    </w:p>
    <w:p w14:paraId="372E900C" w14:textId="77777777" w:rsidR="00894AA1" w:rsidRDefault="00000000">
      <w:pPr>
        <w:pStyle w:val="ad"/>
        <w:widowControl w:val="0"/>
        <w:ind w:firstLine="480"/>
      </w:pPr>
      <w:r>
        <w:t>第一阶段为项目启动与详细设计阶段，计划用时</w:t>
      </w:r>
      <w:r>
        <w:t>15</w:t>
      </w:r>
      <w:r>
        <w:t>天。本阶段主要完成团队组建、现场详细勘察、与甲方确认技术细节，并完成所有设备的采购下单工作。关键交付物为《项目启动会纪要》和《详细设计说明书》。</w:t>
      </w:r>
    </w:p>
    <w:p w14:paraId="1058E39F" w14:textId="77777777" w:rsidR="00894AA1" w:rsidRDefault="00000000">
      <w:pPr>
        <w:pStyle w:val="ad"/>
        <w:widowControl w:val="0"/>
        <w:ind w:firstLine="480"/>
      </w:pPr>
      <w:r>
        <w:t>第二阶段为硬件部署与基础设施建设阶段，计划用时</w:t>
      </w:r>
      <w:r>
        <w:t>35</w:t>
      </w:r>
      <w:r>
        <w:t>天。本阶段核心任务是完成机房、管线等基础设施建设，并确保所有硬件设备到场、完成甲方协同的到货验收，并进行安装部署与单体上电调试。关键交付物为全套《设备到货验收单》和《安装调试报告》。</w:t>
      </w:r>
    </w:p>
    <w:p w14:paraId="3D20F446" w14:textId="77777777" w:rsidR="00894AA1" w:rsidRDefault="00000000">
      <w:pPr>
        <w:pStyle w:val="ad"/>
        <w:widowControl w:val="0"/>
        <w:ind w:firstLine="480"/>
      </w:pPr>
      <w:r>
        <w:t>第三阶段为软件开发与数据治理并行阶段，计划用时</w:t>
      </w:r>
      <w:r>
        <w:t>40</w:t>
      </w:r>
      <w:r>
        <w:t>天，与第二阶段有部分时间重叠。本阶段软件开发组将进行平台核心功能的迭代开发与测试；同时，数据治理组将同步开展数据清洗规则的编码、测试，并与软件平台进行初步数据对接验证。关键交付物为可演示的《软件系统原型》及《数据清洗模块测试报告》。</w:t>
      </w:r>
    </w:p>
    <w:p w14:paraId="3447ED09" w14:textId="77777777" w:rsidR="00894AA1" w:rsidRDefault="00000000">
      <w:pPr>
        <w:pStyle w:val="ad"/>
        <w:widowControl w:val="0"/>
        <w:ind w:firstLine="480"/>
      </w:pPr>
      <w:r>
        <w:t>第四阶段为系统集成与联合调试阶段，计划用时</w:t>
      </w:r>
      <w:r>
        <w:t>10</w:t>
      </w:r>
      <w:r>
        <w:t>天。此阶段将进行全系统的软硬件集成，开展基于真实业务场景的端到端功能测试、性能测试及用户培训。关键交付物为《系统集成测试报告》和《用户培训记录》。</w:t>
      </w:r>
    </w:p>
    <w:p w14:paraId="465D304F" w14:textId="77777777" w:rsidR="00894AA1" w:rsidRDefault="00000000">
      <w:pPr>
        <w:pStyle w:val="ad"/>
        <w:widowControl w:val="0"/>
        <w:ind w:firstLine="480"/>
      </w:pPr>
      <w:r>
        <w:t>第五阶段为试运行与竣工验收阶段，计划用时</w:t>
      </w:r>
      <w:r>
        <w:t>10</w:t>
      </w:r>
      <w:r>
        <w:t>天。系统将上线进入全量试运行，进行稳定性与性能考核。同时，项目团队准备全套竣工文档，并全力配合甲方完成最终验收。关键交付物为《系统试运行报告》、《项目竣工文档汇编》及《最终验收证书》。</w:t>
      </w:r>
    </w:p>
    <w:p w14:paraId="00132FD4" w14:textId="77777777" w:rsidR="00894AA1" w:rsidRDefault="00000000">
      <w:pPr>
        <w:pStyle w:val="10"/>
        <w:rPr>
          <w:lang w:eastAsia="zh-CN"/>
        </w:rPr>
      </w:pPr>
      <w:bookmarkStart w:id="8" w:name="_Toc32299"/>
      <w:r>
        <w:rPr>
          <w:lang w:eastAsia="zh-CN"/>
        </w:rPr>
        <w:lastRenderedPageBreak/>
        <w:t>风险管理策略</w:t>
      </w:r>
      <w:bookmarkEnd w:id="8"/>
    </w:p>
    <w:p w14:paraId="7B1E856B" w14:textId="77777777" w:rsidR="00894AA1" w:rsidRDefault="00000000">
      <w:pPr>
        <w:pStyle w:val="ad"/>
        <w:widowControl w:val="0"/>
        <w:ind w:firstLine="480"/>
      </w:pPr>
      <w:r>
        <w:t>我们已经识别出本项目可能面临的几类主要风险，并制定了相应的应对策略。</w:t>
      </w:r>
    </w:p>
    <w:p w14:paraId="5CF15CEC" w14:textId="77777777" w:rsidR="00894AA1" w:rsidRDefault="00000000">
      <w:pPr>
        <w:pStyle w:val="ad"/>
        <w:widowControl w:val="0"/>
        <w:ind w:firstLine="480"/>
      </w:pPr>
      <w:r>
        <w:t>在技术风险方面，主要风险点在于多品牌、多型号设备的兼容性与集成难度。为此，我们将在设计阶段进行深入的接口协议分析，并要求关键设备供应商提供技术承诺与现场支持预案。</w:t>
      </w:r>
    </w:p>
    <w:p w14:paraId="3286A55F" w14:textId="77777777" w:rsidR="00894AA1" w:rsidRDefault="00000000">
      <w:pPr>
        <w:pStyle w:val="ad"/>
        <w:widowControl w:val="0"/>
        <w:ind w:firstLine="480"/>
      </w:pPr>
      <w:r>
        <w:t>在进度风险方面，关键设备可能因供应链问题延迟到货。为此，我们将立即启动采购流程，并定期追踪供应商生产与发货状态，同时制定灵活的安装工序，尽可能减少对关键路径的影响。</w:t>
      </w:r>
    </w:p>
    <w:p w14:paraId="72830CF8" w14:textId="77777777" w:rsidR="00894AA1" w:rsidRDefault="00000000">
      <w:pPr>
        <w:pStyle w:val="ad"/>
        <w:widowControl w:val="0"/>
        <w:ind w:firstLine="480"/>
      </w:pPr>
      <w:r>
        <w:t>在质量风险方面，存在软件功能与用户预期存在偏差的可能。为此，我们将采用敏捷开发模式，定期向甲方展示开发成果并获取反馈，确保开发方向始终正确。</w:t>
      </w:r>
    </w:p>
    <w:p w14:paraId="28956FAB" w14:textId="77777777" w:rsidR="00894AA1" w:rsidRDefault="00000000">
      <w:pPr>
        <w:pStyle w:val="ad"/>
        <w:widowControl w:val="0"/>
        <w:ind w:firstLine="480"/>
      </w:pPr>
      <w:r>
        <w:t>在沟通风险方面，我们已建立与甲方的固定沟通渠道（周报、周会、里程碑评审），确保信息对称。对于任何可能的范围变更，将严格执行公司内部的《变更管理流程》，评估影响后提交甲方审批。</w:t>
      </w:r>
    </w:p>
    <w:p w14:paraId="07E9CA6B" w14:textId="77777777" w:rsidR="00894AA1" w:rsidRDefault="00000000">
      <w:pPr>
        <w:pStyle w:val="ad"/>
        <w:widowControl w:val="0"/>
        <w:ind w:firstLine="480"/>
      </w:pPr>
      <w:r>
        <w:t>对于户外施工可能受恶劣天气影响的外部风险，我们将在施工计划中预留合理缓冲时间，并优先安排室内作业。</w:t>
      </w:r>
    </w:p>
    <w:p w14:paraId="2F070F70" w14:textId="77777777" w:rsidR="00894AA1" w:rsidRDefault="00000000">
      <w:pPr>
        <w:pStyle w:val="10"/>
        <w:rPr>
          <w:lang w:eastAsia="zh-CN"/>
        </w:rPr>
      </w:pPr>
      <w:bookmarkStart w:id="9" w:name="_Toc9966"/>
      <w:r>
        <w:rPr>
          <w:lang w:eastAsia="zh-CN"/>
        </w:rPr>
        <w:t>质量控制与交付物管理</w:t>
      </w:r>
      <w:bookmarkEnd w:id="9"/>
    </w:p>
    <w:p w14:paraId="3CE807BD" w14:textId="77777777" w:rsidR="00894AA1" w:rsidRDefault="00000000">
      <w:pPr>
        <w:pStyle w:val="ad"/>
        <w:widowControl w:val="0"/>
        <w:ind w:firstLine="480"/>
      </w:pPr>
      <w:r>
        <w:t>我们将执行贯穿项目始终的四级质量控制体系</w:t>
      </w:r>
      <w:r>
        <w:rPr>
          <w:rFonts w:hint="eastAsia"/>
        </w:rPr>
        <w:t>：</w:t>
      </w:r>
    </w:p>
    <w:p w14:paraId="2C7DC583" w14:textId="77777777" w:rsidR="00894AA1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t>第一级为供应商与到货自检，确保输入物料合格；</w:t>
      </w:r>
    </w:p>
    <w:p w14:paraId="700F02FC" w14:textId="77777777" w:rsidR="00894AA1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t>第二级为过程自检，每个安装或开发步骤完成后由实施人员自查；</w:t>
      </w:r>
    </w:p>
    <w:p w14:paraId="0AF279EE" w14:textId="77777777" w:rsidR="00894AA1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t>第三级为专项质检，由质量组对关键节点进行独立检查；</w:t>
      </w:r>
    </w:p>
    <w:p w14:paraId="133C6705" w14:textId="77777777" w:rsidR="00894AA1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t>第四级为交付评审，所有交付物在提交甲方前，均需通过内部评审。</w:t>
      </w:r>
    </w:p>
    <w:p w14:paraId="0F48F034" w14:textId="77777777" w:rsidR="00894AA1" w:rsidRDefault="00000000">
      <w:pPr>
        <w:pStyle w:val="ad"/>
        <w:widowControl w:val="0"/>
        <w:ind w:firstLine="480"/>
      </w:pPr>
      <w:r>
        <w:t>项目交付物管理是质量管控的核心。我们已经制定了详细的《项目交付物清单》，明确了每一份文档、报告或成果物的产出阶段、责任小组、内容要求及提交时间。所有交付物将由质量与文档组统一归档、版本管理，并在最终验收时形成完整的竣工文档集，随系统一并移交。</w:t>
      </w:r>
    </w:p>
    <w:p w14:paraId="7C33B601" w14:textId="77777777" w:rsidR="00894AA1" w:rsidRDefault="00000000">
      <w:pPr>
        <w:pStyle w:val="10"/>
        <w:rPr>
          <w:lang w:eastAsia="zh-CN"/>
        </w:rPr>
      </w:pPr>
      <w:bookmarkStart w:id="10" w:name="_Toc3407"/>
      <w:r>
        <w:rPr>
          <w:lang w:eastAsia="zh-CN"/>
        </w:rPr>
        <w:lastRenderedPageBreak/>
        <w:t>项目交付成果</w:t>
      </w:r>
      <w:bookmarkEnd w:id="10"/>
    </w:p>
    <w:p w14:paraId="66DA50A1" w14:textId="77777777" w:rsidR="00894AA1" w:rsidRDefault="00000000">
      <w:pPr>
        <w:pStyle w:val="ad"/>
        <w:widowControl w:val="0"/>
        <w:ind w:firstLine="480"/>
      </w:pPr>
      <w:r>
        <w:t>根据合同及项目管理要求，我们将向甲方交付包括但不限于以下成果：</w:t>
      </w:r>
    </w:p>
    <w:p w14:paraId="60540B86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详细的技术设计文档；全套的设备安装与调试记录；</w:t>
      </w:r>
    </w:p>
    <w:p w14:paraId="134B081F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完整的智慧农业大数据平台软件系统及其源代码（根据合同约定）；</w:t>
      </w:r>
    </w:p>
    <w:p w14:paraId="40834B14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专门的数据清洗策略方案、实施记录及质量验证报告；</w:t>
      </w:r>
    </w:p>
    <w:p w14:paraId="07E4127D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全面的系统测试报告；</w:t>
      </w:r>
    </w:p>
    <w:p w14:paraId="53A5FF2E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完整的用户操作与运维培训材料；</w:t>
      </w:r>
    </w:p>
    <w:p w14:paraId="223B6347" w14:textId="77777777" w:rsidR="00894AA1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t>以及汇总所有技术资料、图纸、手册的《项目竣工文档汇编》。</w:t>
      </w:r>
    </w:p>
    <w:p w14:paraId="5B5C4CEB" w14:textId="77777777" w:rsidR="00894AA1" w:rsidRDefault="00000000">
      <w:pPr>
        <w:pStyle w:val="ad"/>
        <w:widowControl w:val="0"/>
        <w:ind w:firstLine="480"/>
      </w:pPr>
      <w:r>
        <w:t>这些交付物共同构成项目最终验收的实质性基础。</w:t>
      </w:r>
    </w:p>
    <w:p w14:paraId="7EFFC110" w14:textId="77777777" w:rsidR="00894AA1" w:rsidRDefault="00000000">
      <w:pPr>
        <w:pStyle w:val="10"/>
        <w:rPr>
          <w:lang w:eastAsia="zh-CN"/>
        </w:rPr>
      </w:pPr>
      <w:bookmarkStart w:id="11" w:name="_Toc1242"/>
      <w:r>
        <w:rPr>
          <w:lang w:eastAsia="zh-CN"/>
        </w:rPr>
        <w:t>项目收尾与知识转移</w:t>
      </w:r>
      <w:bookmarkEnd w:id="11"/>
    </w:p>
    <w:p w14:paraId="349E8005" w14:textId="77777777" w:rsidR="00894AA1" w:rsidRDefault="00000000">
      <w:pPr>
        <w:pStyle w:val="ad"/>
        <w:widowControl w:val="0"/>
        <w:ind w:firstLine="480"/>
      </w:pPr>
      <w:r>
        <w:t>项目通过最终验收后，我们将立即启动收尾程序。首先，完成所有项目文档的最终版整理与正式移交。其次，组织面向甲方运维团队的系统性知识转移培训，涵盖系统架构、日常操作、故障排查及数据质量监控等核心内容，确保甲方能够独立运维。最后，项目团队将按照合同条款，将系统支持工作平稳移交至我司售后服务体系，进入质保期。</w:t>
      </w:r>
    </w:p>
    <w:sectPr w:rsidR="00894AA1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C0E3" w14:textId="77777777" w:rsidR="000E25FF" w:rsidRDefault="000E25FF">
      <w:pPr>
        <w:spacing w:line="240" w:lineRule="auto"/>
      </w:pPr>
      <w:r>
        <w:separator/>
      </w:r>
    </w:p>
  </w:endnote>
  <w:endnote w:type="continuationSeparator" w:id="0">
    <w:p w14:paraId="1AE6251C" w14:textId="77777777" w:rsidR="000E25FF" w:rsidRDefault="000E25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8713" w14:textId="77777777" w:rsidR="000E25FF" w:rsidRDefault="000E25FF">
      <w:pPr>
        <w:spacing w:line="240" w:lineRule="auto"/>
      </w:pPr>
      <w:r>
        <w:separator/>
      </w:r>
    </w:p>
  </w:footnote>
  <w:footnote w:type="continuationSeparator" w:id="0">
    <w:p w14:paraId="7D2BC937" w14:textId="77777777" w:rsidR="000E25FF" w:rsidRDefault="000E25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733E" w14:textId="77777777" w:rsidR="00894AA1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27C19C33"/>
    <w:multiLevelType w:val="singleLevel"/>
    <w:tmpl w:val="27C19C3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70FCB0F7"/>
    <w:multiLevelType w:val="singleLevel"/>
    <w:tmpl w:val="70FCB0F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972519790">
    <w:abstractNumId w:val="0"/>
  </w:num>
  <w:num w:numId="2" w16cid:durableId="102917239">
    <w:abstractNumId w:val="1"/>
  </w:num>
  <w:num w:numId="3" w16cid:durableId="84614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AA1"/>
    <w:rsid w:val="000E25FF"/>
    <w:rsid w:val="00894AA1"/>
    <w:rsid w:val="009276F1"/>
    <w:rsid w:val="00FD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D684F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1672</Words>
  <Characters>1857</Characters>
  <Application>Microsoft Office Word</Application>
  <DocSecurity>0</DocSecurity>
  <Lines>123</Lines>
  <Paragraphs>130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