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65B7" w14:textId="77777777" w:rsidR="00D25711" w:rsidRDefault="00000000">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w:t>
      </w:r>
      <w:r>
        <w:rPr>
          <w:rFonts w:ascii="宋体" w:hAnsi="宋体" w:cs="宋体" w:hint="eastAsia"/>
          <w:b/>
          <w:bCs/>
          <w:spacing w:val="-3"/>
          <w:sz w:val="24"/>
          <w:szCs w:val="24"/>
          <w:lang w:eastAsia="zh-CN"/>
        </w:rPr>
        <w:t>10</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2-07</w:t>
      </w:r>
    </w:p>
    <w:p w14:paraId="4936FCB7" w14:textId="77777777" w:rsidR="00D25711"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D89CD26" w14:textId="77777777" w:rsidR="00D25711" w:rsidRDefault="00000000">
      <w:pPr>
        <w:pStyle w:val="ab"/>
        <w:widowControl w:val="0"/>
        <w:spacing w:after="1872"/>
        <w:rPr>
          <w:lang w:eastAsia="zh-CN"/>
        </w:rPr>
      </w:pPr>
      <w:bookmarkStart w:id="0" w:name="_Toc27007"/>
      <w:r>
        <w:rPr>
          <w:lang w:eastAsia="zh-CN"/>
        </w:rPr>
        <w:t>陕西益利德软件科技有限公司</w:t>
      </w:r>
      <w:bookmarkEnd w:id="0"/>
    </w:p>
    <w:p w14:paraId="0A900E63" w14:textId="77777777" w:rsidR="00D25711" w:rsidRDefault="00000000">
      <w:pPr>
        <w:pStyle w:val="ac"/>
        <w:widowControl w:val="0"/>
        <w:spacing w:after="2808"/>
        <w:rPr>
          <w:rFonts w:hint="eastAsia"/>
          <w:sz w:val="44"/>
          <w:szCs w:val="44"/>
          <w:lang w:eastAsia="zh-CN"/>
        </w:rPr>
      </w:pPr>
      <w:bookmarkStart w:id="1" w:name="_Toc32140"/>
      <w:r>
        <w:rPr>
          <w:rFonts w:hint="eastAsia"/>
          <w:sz w:val="44"/>
          <w:szCs w:val="44"/>
          <w:lang w:eastAsia="zh-CN"/>
        </w:rPr>
        <w:t>烟台林海嵎峡田综合体智慧农业大数据平台建设项目阶段性总结报告</w:t>
      </w:r>
      <w:bookmarkEnd w:id="1"/>
    </w:p>
    <w:tbl>
      <w:tblPr>
        <w:tblStyle w:val="a9"/>
        <w:tblW w:w="0" w:type="auto"/>
        <w:jc w:val="center"/>
        <w:tblBorders>
          <w:top w:val="nil"/>
          <w:left w:val="nil"/>
          <w:bottom w:val="nil"/>
          <w:right w:val="nil"/>
          <w:insideH w:val="nil"/>
          <w:insideV w:val="nil"/>
        </w:tblBorders>
        <w:tblLook w:val="04A0" w:firstRow="1" w:lastRow="0" w:firstColumn="1" w:lastColumn="0" w:noHBand="0" w:noVBand="1"/>
      </w:tblPr>
      <w:tblGrid>
        <w:gridCol w:w="1818"/>
        <w:gridCol w:w="4261"/>
      </w:tblGrid>
      <w:tr w:rsidR="00D25711" w14:paraId="4B5DF52F" w14:textId="77777777">
        <w:trPr>
          <w:trHeight w:val="810"/>
          <w:jc w:val="center"/>
        </w:trPr>
        <w:tc>
          <w:tcPr>
            <w:tcW w:w="1818" w:type="dxa"/>
          </w:tcPr>
          <w:p w14:paraId="5384AECD" w14:textId="77777777" w:rsidR="00D25711" w:rsidRDefault="00000000">
            <w:pPr>
              <w:pStyle w:val="ad"/>
              <w:ind w:firstLineChars="0" w:firstLine="0"/>
              <w:rPr>
                <w:rFonts w:ascii="宋体" w:hAnsi="宋体" w:cs="宋体" w:hint="eastAsia"/>
                <w:sz w:val="21"/>
              </w:rPr>
            </w:pPr>
            <w:r>
              <w:rPr>
                <w:rFonts w:ascii="宋体" w:hAnsi="宋体" w:cs="宋体" w:hint="eastAsia"/>
                <w:sz w:val="21"/>
              </w:rPr>
              <w:t>编制人:</w:t>
            </w:r>
            <w:r>
              <w:rPr>
                <w:rFonts w:ascii="宋体" w:hAnsi="宋体" w:cs="宋体" w:hint="eastAsia"/>
                <w:sz w:val="21"/>
                <w:u w:val="single"/>
              </w:rPr>
              <w:t>孙光莉</w:t>
            </w:r>
          </w:p>
        </w:tc>
        <w:tc>
          <w:tcPr>
            <w:tcW w:w="4261" w:type="dxa"/>
          </w:tcPr>
          <w:p w14:paraId="2432C936" w14:textId="5F7E9304" w:rsidR="00D25711"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w:t>
            </w:r>
            <w:r w:rsidR="006244B8">
              <w:rPr>
                <w:rFonts w:hint="eastAsia"/>
                <w:sz w:val="21"/>
                <w:u w:val="single"/>
              </w:rPr>
              <w:t>1</w:t>
            </w:r>
            <w:r w:rsidR="008D48F7">
              <w:rPr>
                <w:rFonts w:hint="eastAsia"/>
                <w:sz w:val="21"/>
                <w:u w:val="single"/>
              </w:rPr>
              <w:t>2</w:t>
            </w:r>
            <w:r>
              <w:rPr>
                <w:sz w:val="21"/>
                <w:u w:val="single"/>
              </w:rPr>
              <w:t>.</w:t>
            </w:r>
            <w:r>
              <w:rPr>
                <w:rFonts w:hint="eastAsia"/>
                <w:sz w:val="21"/>
                <w:u w:val="single"/>
              </w:rPr>
              <w:t>20</w:t>
            </w:r>
          </w:p>
        </w:tc>
      </w:tr>
      <w:tr w:rsidR="00D25711" w14:paraId="1DEC2071" w14:textId="77777777">
        <w:trPr>
          <w:trHeight w:val="810"/>
          <w:jc w:val="center"/>
        </w:trPr>
        <w:tc>
          <w:tcPr>
            <w:tcW w:w="1818" w:type="dxa"/>
          </w:tcPr>
          <w:p w14:paraId="6E93DA5F" w14:textId="77777777" w:rsidR="00D25711" w:rsidRDefault="00000000">
            <w:pPr>
              <w:pStyle w:val="ad"/>
              <w:ind w:firstLineChars="0" w:firstLine="0"/>
              <w:rPr>
                <w:rFonts w:ascii="宋体" w:hAnsi="宋体" w:cs="宋体" w:hint="eastAsia"/>
                <w:sz w:val="21"/>
              </w:rPr>
            </w:pPr>
            <w:r>
              <w:rPr>
                <w:rFonts w:ascii="宋体" w:hAnsi="宋体" w:cs="宋体" w:hint="eastAsia"/>
                <w:sz w:val="21"/>
              </w:rPr>
              <w:t>审核人:</w:t>
            </w:r>
            <w:r>
              <w:rPr>
                <w:rFonts w:ascii="宋体" w:hAnsi="宋体" w:cs="宋体" w:hint="eastAsia"/>
                <w:sz w:val="21"/>
                <w:u w:val="single"/>
              </w:rPr>
              <w:t>严长运</w:t>
            </w:r>
          </w:p>
        </w:tc>
        <w:tc>
          <w:tcPr>
            <w:tcW w:w="4261" w:type="dxa"/>
          </w:tcPr>
          <w:p w14:paraId="392D6799" w14:textId="076E2700" w:rsidR="00D25711"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w:t>
            </w:r>
            <w:r w:rsidR="006244B8">
              <w:rPr>
                <w:rFonts w:hint="eastAsia"/>
                <w:sz w:val="21"/>
                <w:u w:val="single"/>
              </w:rPr>
              <w:t>1</w:t>
            </w:r>
            <w:r w:rsidR="008D48F7">
              <w:rPr>
                <w:rFonts w:hint="eastAsia"/>
                <w:sz w:val="21"/>
                <w:u w:val="single"/>
              </w:rPr>
              <w:t>2</w:t>
            </w:r>
            <w:r>
              <w:rPr>
                <w:sz w:val="21"/>
                <w:u w:val="single"/>
              </w:rPr>
              <w:t>.</w:t>
            </w:r>
            <w:r>
              <w:rPr>
                <w:rFonts w:hint="eastAsia"/>
                <w:sz w:val="21"/>
                <w:u w:val="single"/>
              </w:rPr>
              <w:t>20</w:t>
            </w:r>
          </w:p>
        </w:tc>
      </w:tr>
      <w:tr w:rsidR="00D25711" w14:paraId="7AA7670B" w14:textId="77777777">
        <w:trPr>
          <w:trHeight w:val="635"/>
          <w:jc w:val="center"/>
        </w:trPr>
        <w:tc>
          <w:tcPr>
            <w:tcW w:w="1818" w:type="dxa"/>
          </w:tcPr>
          <w:p w14:paraId="06A549F3" w14:textId="77777777" w:rsidR="00D25711" w:rsidRDefault="00000000">
            <w:pPr>
              <w:pStyle w:val="ad"/>
              <w:ind w:firstLineChars="0" w:firstLine="0"/>
              <w:rPr>
                <w:rFonts w:ascii="宋体" w:hAnsi="宋体" w:cs="宋体" w:hint="eastAsia"/>
                <w:sz w:val="21"/>
              </w:rPr>
            </w:pPr>
            <w:r>
              <w:rPr>
                <w:rFonts w:ascii="宋体" w:hAnsi="宋体" w:cs="宋体" w:hint="eastAsia"/>
                <w:sz w:val="21"/>
              </w:rPr>
              <w:t>批准人:</w:t>
            </w:r>
            <w:r>
              <w:rPr>
                <w:rFonts w:ascii="宋体" w:hAnsi="宋体" w:cs="宋体" w:hint="eastAsia"/>
                <w:sz w:val="21"/>
                <w:u w:val="single"/>
              </w:rPr>
              <w:t>鲁玉锋</w:t>
            </w:r>
          </w:p>
        </w:tc>
        <w:tc>
          <w:tcPr>
            <w:tcW w:w="4261" w:type="dxa"/>
          </w:tcPr>
          <w:p w14:paraId="0E1299EA" w14:textId="12CC5D8A" w:rsidR="00D25711" w:rsidRDefault="00000000">
            <w:pPr>
              <w:pStyle w:val="ad"/>
              <w:ind w:firstLine="420"/>
              <w:rPr>
                <w:rFonts w:ascii="宋体" w:hAnsi="宋体" w:cs="宋体" w:hint="eastAsia"/>
                <w:sz w:val="21"/>
              </w:rPr>
            </w:pPr>
            <w:r>
              <w:rPr>
                <w:rFonts w:ascii="宋体" w:hAnsi="宋体" w:cs="宋体" w:hint="eastAsia"/>
                <w:sz w:val="21"/>
              </w:rPr>
              <w:t>审批时间:</w:t>
            </w:r>
            <w:r>
              <w:rPr>
                <w:sz w:val="21"/>
                <w:u w:val="single"/>
              </w:rPr>
              <w:t>2025.</w:t>
            </w:r>
            <w:r w:rsidR="006244B8">
              <w:rPr>
                <w:rFonts w:hint="eastAsia"/>
                <w:sz w:val="21"/>
                <w:u w:val="single"/>
              </w:rPr>
              <w:t>1</w:t>
            </w:r>
            <w:r w:rsidR="008D48F7">
              <w:rPr>
                <w:rFonts w:hint="eastAsia"/>
                <w:sz w:val="21"/>
                <w:u w:val="single"/>
              </w:rPr>
              <w:t>2</w:t>
            </w:r>
            <w:r>
              <w:rPr>
                <w:sz w:val="21"/>
                <w:u w:val="single"/>
              </w:rPr>
              <w:t>.</w:t>
            </w:r>
            <w:r>
              <w:rPr>
                <w:rFonts w:hint="eastAsia"/>
                <w:sz w:val="21"/>
                <w:u w:val="single"/>
              </w:rPr>
              <w:t>20</w:t>
            </w:r>
          </w:p>
        </w:tc>
      </w:tr>
    </w:tbl>
    <w:p w14:paraId="03290451" w14:textId="77777777" w:rsidR="00D25711" w:rsidRDefault="00000000">
      <w:pPr>
        <w:pStyle w:val="ad"/>
        <w:widowControl w:val="0"/>
        <w:ind w:firstLine="480"/>
      </w:pPr>
      <w:r>
        <w:br w:type="page"/>
      </w:r>
    </w:p>
    <w:p w14:paraId="57973984" w14:textId="77777777" w:rsidR="00D25711" w:rsidRDefault="00000000">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D25711" w14:paraId="78642178" w14:textId="77777777">
        <w:trPr>
          <w:trHeight w:val="593"/>
        </w:trPr>
        <w:tc>
          <w:tcPr>
            <w:tcW w:w="1555" w:type="dxa"/>
          </w:tcPr>
          <w:p w14:paraId="5F866F98" w14:textId="77777777" w:rsidR="00D25711" w:rsidRDefault="00000000">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4374079D" w14:textId="77777777" w:rsidR="00D25711" w:rsidRDefault="00000000">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5554F35E" w14:textId="77777777" w:rsidR="00D25711" w:rsidRDefault="00000000">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3709351D" w14:textId="77777777" w:rsidR="00D25711" w:rsidRDefault="00000000">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77477CD0" w14:textId="77777777" w:rsidR="00D25711" w:rsidRDefault="00000000">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0C8C2B41" w14:textId="77777777" w:rsidR="00D25711" w:rsidRDefault="00000000">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D25711" w14:paraId="6C9DD443" w14:textId="77777777">
        <w:trPr>
          <w:trHeight w:val="556"/>
        </w:trPr>
        <w:tc>
          <w:tcPr>
            <w:tcW w:w="1555" w:type="dxa"/>
          </w:tcPr>
          <w:p w14:paraId="3464F606" w14:textId="707AD7D5" w:rsidR="00D25711" w:rsidRDefault="00000000">
            <w:pPr>
              <w:widowControl w:val="0"/>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2025.</w:t>
            </w:r>
            <w:r w:rsidR="006244B8">
              <w:rPr>
                <w:rFonts w:ascii="宋体" w:hAnsi="宋体" w:cs="宋体" w:hint="eastAsia"/>
                <w:spacing w:val="3"/>
                <w:position w:val="1"/>
                <w:sz w:val="20"/>
                <w:szCs w:val="20"/>
                <w:lang w:eastAsia="zh-CN"/>
              </w:rPr>
              <w:t>1</w:t>
            </w:r>
            <w:r w:rsidR="008D48F7">
              <w:rPr>
                <w:rFonts w:ascii="宋体" w:hAnsi="宋体" w:cs="宋体" w:hint="eastAsia"/>
                <w:spacing w:val="3"/>
                <w:position w:val="1"/>
                <w:sz w:val="20"/>
                <w:szCs w:val="20"/>
                <w:lang w:eastAsia="zh-CN"/>
              </w:rPr>
              <w:t>2</w:t>
            </w:r>
            <w:r>
              <w:rPr>
                <w:rFonts w:ascii="宋体" w:hAnsi="宋体" w:cs="宋体"/>
                <w:spacing w:val="3"/>
                <w:position w:val="1"/>
                <w:sz w:val="20"/>
                <w:szCs w:val="20"/>
              </w:rPr>
              <w:t>.</w:t>
            </w:r>
            <w:r>
              <w:rPr>
                <w:rFonts w:ascii="宋体" w:hAnsi="宋体" w:cs="宋体" w:hint="eastAsia"/>
                <w:spacing w:val="3"/>
                <w:position w:val="1"/>
                <w:sz w:val="20"/>
                <w:szCs w:val="20"/>
                <w:lang w:eastAsia="zh-CN"/>
              </w:rPr>
              <w:t>20</w:t>
            </w:r>
          </w:p>
        </w:tc>
        <w:tc>
          <w:tcPr>
            <w:tcW w:w="919" w:type="dxa"/>
          </w:tcPr>
          <w:p w14:paraId="203F20B8" w14:textId="77777777" w:rsidR="00D25711" w:rsidRDefault="00000000">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30D6F2D5" w14:textId="77777777" w:rsidR="00D25711" w:rsidRDefault="00000000">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412EB3DD" w14:textId="77777777" w:rsidR="00D25711" w:rsidRDefault="00000000">
            <w:pPr>
              <w:widowControl w:val="0"/>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孙光莉</w:t>
            </w:r>
          </w:p>
        </w:tc>
        <w:tc>
          <w:tcPr>
            <w:tcW w:w="1150" w:type="dxa"/>
          </w:tcPr>
          <w:p w14:paraId="37B70100" w14:textId="77777777" w:rsidR="00D25711" w:rsidRDefault="00000000">
            <w:pPr>
              <w:widowControl w:val="0"/>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02AE1D11" w14:textId="77777777" w:rsidR="00D25711" w:rsidRDefault="00000000">
            <w:pPr>
              <w:widowControl w:val="0"/>
              <w:spacing w:before="173" w:line="229" w:lineRule="auto"/>
              <w:ind w:left="314"/>
              <w:rPr>
                <w:rFonts w:ascii="宋体" w:hAnsi="宋体" w:cs="宋体" w:hint="eastAsia"/>
                <w:sz w:val="20"/>
                <w:szCs w:val="20"/>
              </w:rPr>
            </w:pPr>
            <w:r>
              <w:rPr>
                <w:rFonts w:ascii="宋体" w:hAnsi="宋体" w:cs="宋体" w:hint="eastAsia"/>
                <w:spacing w:val="6"/>
                <w:sz w:val="20"/>
                <w:szCs w:val="20"/>
                <w:lang w:eastAsia="zh-CN"/>
              </w:rPr>
              <w:t>鲁玉锋</w:t>
            </w:r>
          </w:p>
        </w:tc>
      </w:tr>
      <w:tr w:rsidR="00D25711" w14:paraId="2E9AC69D" w14:textId="77777777">
        <w:trPr>
          <w:trHeight w:val="556"/>
        </w:trPr>
        <w:tc>
          <w:tcPr>
            <w:tcW w:w="1555" w:type="dxa"/>
          </w:tcPr>
          <w:p w14:paraId="7DE50C4B" w14:textId="77777777" w:rsidR="00D25711" w:rsidRDefault="00D25711">
            <w:pPr>
              <w:pStyle w:val="TableText"/>
              <w:widowControl w:val="0"/>
              <w:rPr>
                <w:rFonts w:hint="eastAsia"/>
              </w:rPr>
            </w:pPr>
          </w:p>
        </w:tc>
        <w:tc>
          <w:tcPr>
            <w:tcW w:w="919" w:type="dxa"/>
          </w:tcPr>
          <w:p w14:paraId="5715970D" w14:textId="77777777" w:rsidR="00D25711" w:rsidRDefault="00D25711">
            <w:pPr>
              <w:pStyle w:val="TableText"/>
              <w:widowControl w:val="0"/>
              <w:rPr>
                <w:rFonts w:hint="eastAsia"/>
              </w:rPr>
            </w:pPr>
          </w:p>
        </w:tc>
        <w:tc>
          <w:tcPr>
            <w:tcW w:w="2289" w:type="dxa"/>
          </w:tcPr>
          <w:p w14:paraId="7250A6A9" w14:textId="77777777" w:rsidR="00D25711" w:rsidRDefault="00D25711">
            <w:pPr>
              <w:pStyle w:val="TableText"/>
              <w:widowControl w:val="0"/>
              <w:rPr>
                <w:rFonts w:hint="eastAsia"/>
              </w:rPr>
            </w:pPr>
          </w:p>
        </w:tc>
        <w:tc>
          <w:tcPr>
            <w:tcW w:w="1148" w:type="dxa"/>
          </w:tcPr>
          <w:p w14:paraId="1B16928A" w14:textId="77777777" w:rsidR="00D25711" w:rsidRDefault="00D25711">
            <w:pPr>
              <w:widowControl w:val="0"/>
              <w:spacing w:before="172" w:line="228" w:lineRule="auto"/>
              <w:ind w:left="313"/>
            </w:pPr>
          </w:p>
        </w:tc>
        <w:tc>
          <w:tcPr>
            <w:tcW w:w="1150" w:type="dxa"/>
          </w:tcPr>
          <w:p w14:paraId="4C007666" w14:textId="77777777" w:rsidR="00D25711" w:rsidRDefault="00D25711">
            <w:pPr>
              <w:widowControl w:val="0"/>
              <w:spacing w:before="172" w:line="228" w:lineRule="auto"/>
              <w:ind w:left="313"/>
            </w:pPr>
          </w:p>
        </w:tc>
        <w:tc>
          <w:tcPr>
            <w:tcW w:w="1240" w:type="dxa"/>
          </w:tcPr>
          <w:p w14:paraId="48CAFEB8" w14:textId="77777777" w:rsidR="00D25711" w:rsidRDefault="00D25711">
            <w:pPr>
              <w:pStyle w:val="TableText"/>
              <w:widowControl w:val="0"/>
              <w:rPr>
                <w:rFonts w:hint="eastAsia"/>
              </w:rPr>
            </w:pPr>
          </w:p>
        </w:tc>
      </w:tr>
      <w:tr w:rsidR="00D25711" w14:paraId="41D17B0E" w14:textId="77777777">
        <w:trPr>
          <w:trHeight w:val="556"/>
        </w:trPr>
        <w:tc>
          <w:tcPr>
            <w:tcW w:w="1555" w:type="dxa"/>
          </w:tcPr>
          <w:p w14:paraId="02C252D9" w14:textId="77777777" w:rsidR="00D25711" w:rsidRDefault="00D25711">
            <w:pPr>
              <w:pStyle w:val="TableText"/>
              <w:widowControl w:val="0"/>
              <w:rPr>
                <w:rFonts w:hint="eastAsia"/>
              </w:rPr>
            </w:pPr>
          </w:p>
        </w:tc>
        <w:tc>
          <w:tcPr>
            <w:tcW w:w="919" w:type="dxa"/>
          </w:tcPr>
          <w:p w14:paraId="73F11231" w14:textId="77777777" w:rsidR="00D25711" w:rsidRDefault="00D25711">
            <w:pPr>
              <w:pStyle w:val="TableText"/>
              <w:widowControl w:val="0"/>
              <w:rPr>
                <w:rFonts w:hint="eastAsia"/>
              </w:rPr>
            </w:pPr>
          </w:p>
        </w:tc>
        <w:tc>
          <w:tcPr>
            <w:tcW w:w="2289" w:type="dxa"/>
          </w:tcPr>
          <w:p w14:paraId="0253C6F6" w14:textId="77777777" w:rsidR="00D25711" w:rsidRDefault="00D25711">
            <w:pPr>
              <w:pStyle w:val="TableText"/>
              <w:widowControl w:val="0"/>
              <w:rPr>
                <w:rFonts w:hint="eastAsia"/>
              </w:rPr>
            </w:pPr>
          </w:p>
        </w:tc>
        <w:tc>
          <w:tcPr>
            <w:tcW w:w="1148" w:type="dxa"/>
          </w:tcPr>
          <w:p w14:paraId="630477CC" w14:textId="77777777" w:rsidR="00D25711" w:rsidRDefault="00D25711">
            <w:pPr>
              <w:widowControl w:val="0"/>
              <w:spacing w:before="173" w:line="229" w:lineRule="auto"/>
              <w:ind w:left="314"/>
            </w:pPr>
          </w:p>
        </w:tc>
        <w:tc>
          <w:tcPr>
            <w:tcW w:w="1150" w:type="dxa"/>
          </w:tcPr>
          <w:p w14:paraId="3D74C24D" w14:textId="77777777" w:rsidR="00D25711" w:rsidRDefault="00D25711">
            <w:pPr>
              <w:widowControl w:val="0"/>
              <w:spacing w:before="173" w:line="229" w:lineRule="auto"/>
              <w:ind w:left="314"/>
            </w:pPr>
          </w:p>
        </w:tc>
        <w:tc>
          <w:tcPr>
            <w:tcW w:w="1240" w:type="dxa"/>
          </w:tcPr>
          <w:p w14:paraId="434ED1C0" w14:textId="77777777" w:rsidR="00D25711" w:rsidRDefault="00D25711">
            <w:pPr>
              <w:pStyle w:val="TableText"/>
              <w:widowControl w:val="0"/>
              <w:rPr>
                <w:rFonts w:hint="eastAsia"/>
              </w:rPr>
            </w:pPr>
          </w:p>
        </w:tc>
      </w:tr>
      <w:tr w:rsidR="00D25711" w14:paraId="48AF3EC9" w14:textId="77777777">
        <w:trPr>
          <w:trHeight w:val="557"/>
        </w:trPr>
        <w:tc>
          <w:tcPr>
            <w:tcW w:w="1555" w:type="dxa"/>
          </w:tcPr>
          <w:p w14:paraId="1C6AACCB" w14:textId="77777777" w:rsidR="00D25711" w:rsidRDefault="00D25711">
            <w:pPr>
              <w:pStyle w:val="TableText"/>
              <w:widowControl w:val="0"/>
              <w:rPr>
                <w:rFonts w:hint="eastAsia"/>
              </w:rPr>
            </w:pPr>
          </w:p>
        </w:tc>
        <w:tc>
          <w:tcPr>
            <w:tcW w:w="919" w:type="dxa"/>
          </w:tcPr>
          <w:p w14:paraId="4373A004" w14:textId="77777777" w:rsidR="00D25711" w:rsidRDefault="00D25711">
            <w:pPr>
              <w:pStyle w:val="TableText"/>
              <w:widowControl w:val="0"/>
              <w:rPr>
                <w:rFonts w:hint="eastAsia"/>
              </w:rPr>
            </w:pPr>
          </w:p>
        </w:tc>
        <w:tc>
          <w:tcPr>
            <w:tcW w:w="2289" w:type="dxa"/>
          </w:tcPr>
          <w:p w14:paraId="45CEA31A" w14:textId="77777777" w:rsidR="00D25711" w:rsidRDefault="00D25711">
            <w:pPr>
              <w:pStyle w:val="TableText"/>
              <w:widowControl w:val="0"/>
              <w:rPr>
                <w:rFonts w:hint="eastAsia"/>
              </w:rPr>
            </w:pPr>
          </w:p>
        </w:tc>
        <w:tc>
          <w:tcPr>
            <w:tcW w:w="1148" w:type="dxa"/>
          </w:tcPr>
          <w:p w14:paraId="2353FAA2" w14:textId="77777777" w:rsidR="00D25711" w:rsidRDefault="00D25711">
            <w:pPr>
              <w:pStyle w:val="TableText"/>
              <w:widowControl w:val="0"/>
              <w:rPr>
                <w:rFonts w:hint="eastAsia"/>
              </w:rPr>
            </w:pPr>
          </w:p>
        </w:tc>
        <w:tc>
          <w:tcPr>
            <w:tcW w:w="1150" w:type="dxa"/>
          </w:tcPr>
          <w:p w14:paraId="67C2D8B0" w14:textId="77777777" w:rsidR="00D25711" w:rsidRDefault="00D25711">
            <w:pPr>
              <w:pStyle w:val="TableText"/>
              <w:widowControl w:val="0"/>
              <w:rPr>
                <w:rFonts w:hint="eastAsia"/>
              </w:rPr>
            </w:pPr>
          </w:p>
        </w:tc>
        <w:tc>
          <w:tcPr>
            <w:tcW w:w="1240" w:type="dxa"/>
          </w:tcPr>
          <w:p w14:paraId="38FFCED9" w14:textId="77777777" w:rsidR="00D25711" w:rsidRDefault="00D25711">
            <w:pPr>
              <w:pStyle w:val="TableText"/>
              <w:widowControl w:val="0"/>
              <w:rPr>
                <w:rFonts w:hint="eastAsia"/>
              </w:rPr>
            </w:pPr>
          </w:p>
        </w:tc>
      </w:tr>
      <w:tr w:rsidR="00D25711" w14:paraId="58D7A414" w14:textId="77777777">
        <w:trPr>
          <w:trHeight w:val="556"/>
        </w:trPr>
        <w:tc>
          <w:tcPr>
            <w:tcW w:w="1555" w:type="dxa"/>
          </w:tcPr>
          <w:p w14:paraId="06088AB3" w14:textId="77777777" w:rsidR="00D25711" w:rsidRDefault="00D25711">
            <w:pPr>
              <w:pStyle w:val="TableText"/>
              <w:widowControl w:val="0"/>
              <w:rPr>
                <w:rFonts w:hint="eastAsia"/>
              </w:rPr>
            </w:pPr>
          </w:p>
        </w:tc>
        <w:tc>
          <w:tcPr>
            <w:tcW w:w="919" w:type="dxa"/>
          </w:tcPr>
          <w:p w14:paraId="10BDBB2A" w14:textId="77777777" w:rsidR="00D25711" w:rsidRDefault="00D25711">
            <w:pPr>
              <w:pStyle w:val="TableText"/>
              <w:widowControl w:val="0"/>
              <w:rPr>
                <w:rFonts w:hint="eastAsia"/>
              </w:rPr>
            </w:pPr>
          </w:p>
        </w:tc>
        <w:tc>
          <w:tcPr>
            <w:tcW w:w="2289" w:type="dxa"/>
          </w:tcPr>
          <w:p w14:paraId="59C1EE55" w14:textId="77777777" w:rsidR="00D25711" w:rsidRDefault="00D25711">
            <w:pPr>
              <w:pStyle w:val="TableText"/>
              <w:widowControl w:val="0"/>
              <w:rPr>
                <w:rFonts w:hint="eastAsia"/>
              </w:rPr>
            </w:pPr>
          </w:p>
        </w:tc>
        <w:tc>
          <w:tcPr>
            <w:tcW w:w="1148" w:type="dxa"/>
          </w:tcPr>
          <w:p w14:paraId="7FE115EE" w14:textId="77777777" w:rsidR="00D25711" w:rsidRDefault="00D25711">
            <w:pPr>
              <w:pStyle w:val="TableText"/>
              <w:widowControl w:val="0"/>
              <w:rPr>
                <w:rFonts w:hint="eastAsia"/>
              </w:rPr>
            </w:pPr>
          </w:p>
        </w:tc>
        <w:tc>
          <w:tcPr>
            <w:tcW w:w="1150" w:type="dxa"/>
          </w:tcPr>
          <w:p w14:paraId="7913509B" w14:textId="77777777" w:rsidR="00D25711" w:rsidRDefault="00D25711">
            <w:pPr>
              <w:pStyle w:val="TableText"/>
              <w:widowControl w:val="0"/>
              <w:rPr>
                <w:rFonts w:hint="eastAsia"/>
              </w:rPr>
            </w:pPr>
          </w:p>
        </w:tc>
        <w:tc>
          <w:tcPr>
            <w:tcW w:w="1240" w:type="dxa"/>
          </w:tcPr>
          <w:p w14:paraId="750841F7" w14:textId="77777777" w:rsidR="00D25711" w:rsidRDefault="00D25711">
            <w:pPr>
              <w:pStyle w:val="TableText"/>
              <w:widowControl w:val="0"/>
              <w:rPr>
                <w:rFonts w:hint="eastAsia"/>
              </w:rPr>
            </w:pPr>
          </w:p>
        </w:tc>
      </w:tr>
      <w:tr w:rsidR="00D25711" w14:paraId="38714C7A" w14:textId="77777777">
        <w:trPr>
          <w:trHeight w:val="561"/>
        </w:trPr>
        <w:tc>
          <w:tcPr>
            <w:tcW w:w="1555" w:type="dxa"/>
          </w:tcPr>
          <w:p w14:paraId="63BE7D23" w14:textId="77777777" w:rsidR="00D25711" w:rsidRDefault="00D25711">
            <w:pPr>
              <w:pStyle w:val="TableText"/>
              <w:widowControl w:val="0"/>
              <w:rPr>
                <w:rFonts w:hint="eastAsia"/>
              </w:rPr>
            </w:pPr>
          </w:p>
        </w:tc>
        <w:tc>
          <w:tcPr>
            <w:tcW w:w="919" w:type="dxa"/>
          </w:tcPr>
          <w:p w14:paraId="1DD39ACF" w14:textId="77777777" w:rsidR="00D25711" w:rsidRDefault="00D25711">
            <w:pPr>
              <w:pStyle w:val="TableText"/>
              <w:widowControl w:val="0"/>
              <w:rPr>
                <w:rFonts w:hint="eastAsia"/>
              </w:rPr>
            </w:pPr>
          </w:p>
        </w:tc>
        <w:tc>
          <w:tcPr>
            <w:tcW w:w="2289" w:type="dxa"/>
          </w:tcPr>
          <w:p w14:paraId="59E6AAAC" w14:textId="77777777" w:rsidR="00D25711" w:rsidRDefault="00D25711">
            <w:pPr>
              <w:pStyle w:val="TableText"/>
              <w:widowControl w:val="0"/>
              <w:rPr>
                <w:rFonts w:hint="eastAsia"/>
              </w:rPr>
            </w:pPr>
          </w:p>
        </w:tc>
        <w:tc>
          <w:tcPr>
            <w:tcW w:w="1148" w:type="dxa"/>
          </w:tcPr>
          <w:p w14:paraId="012E8086" w14:textId="77777777" w:rsidR="00D25711" w:rsidRDefault="00D25711">
            <w:pPr>
              <w:pStyle w:val="TableText"/>
              <w:widowControl w:val="0"/>
              <w:rPr>
                <w:rFonts w:hint="eastAsia"/>
              </w:rPr>
            </w:pPr>
          </w:p>
        </w:tc>
        <w:tc>
          <w:tcPr>
            <w:tcW w:w="1150" w:type="dxa"/>
          </w:tcPr>
          <w:p w14:paraId="700547B4" w14:textId="77777777" w:rsidR="00D25711" w:rsidRDefault="00D25711">
            <w:pPr>
              <w:pStyle w:val="TableText"/>
              <w:widowControl w:val="0"/>
              <w:rPr>
                <w:rFonts w:hint="eastAsia"/>
              </w:rPr>
            </w:pPr>
          </w:p>
        </w:tc>
        <w:tc>
          <w:tcPr>
            <w:tcW w:w="1240" w:type="dxa"/>
          </w:tcPr>
          <w:p w14:paraId="159CB8FC" w14:textId="77777777" w:rsidR="00D25711" w:rsidRDefault="00D25711">
            <w:pPr>
              <w:pStyle w:val="TableText"/>
              <w:widowControl w:val="0"/>
              <w:rPr>
                <w:rFonts w:hint="eastAsia"/>
              </w:rPr>
            </w:pPr>
          </w:p>
        </w:tc>
      </w:tr>
    </w:tbl>
    <w:p w14:paraId="6D8FAF3F" w14:textId="77777777" w:rsidR="00D25711" w:rsidRDefault="00000000">
      <w:pPr>
        <w:widowControl w:val="0"/>
      </w:pPr>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3C42F64E" w14:textId="77777777" w:rsidR="00D25711" w:rsidRDefault="00000000">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14:paraId="6FEFCFE5" w14:textId="77777777" w:rsidR="00D25711"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27007" w:history="1">
            <w:r w:rsidR="00D25711">
              <w:rPr>
                <w:rFonts w:hint="eastAsia"/>
                <w:lang w:eastAsia="zh-CN"/>
              </w:rPr>
              <w:t>陕西益利德软件科技有限公司</w:t>
            </w:r>
            <w:r w:rsidR="00D25711">
              <w:tab/>
            </w:r>
            <w:r w:rsidR="00D25711">
              <w:fldChar w:fldCharType="begin"/>
            </w:r>
            <w:r w:rsidR="00D25711">
              <w:instrText xml:space="preserve"> PAGEREF _Toc27007 \h </w:instrText>
            </w:r>
            <w:r w:rsidR="00D25711">
              <w:fldChar w:fldCharType="separate"/>
            </w:r>
            <w:r w:rsidR="00D25711">
              <w:t>1</w:t>
            </w:r>
            <w:r w:rsidR="00D25711">
              <w:fldChar w:fldCharType="end"/>
            </w:r>
          </w:hyperlink>
        </w:p>
        <w:p w14:paraId="5E0781EB" w14:textId="77777777" w:rsidR="00D25711" w:rsidRDefault="00D25711">
          <w:pPr>
            <w:pStyle w:val="TOC1"/>
            <w:tabs>
              <w:tab w:val="right" w:leader="dot" w:pos="8306"/>
            </w:tabs>
          </w:pPr>
          <w:hyperlink w:anchor="_Toc32140" w:history="1">
            <w:r>
              <w:rPr>
                <w:rFonts w:hint="eastAsia"/>
                <w:szCs w:val="44"/>
                <w:lang w:eastAsia="zh-CN"/>
              </w:rPr>
              <w:t>烟台林海嵎峡田综合体智慧农业大数据平台建设项目阶段性总结报告</w:t>
            </w:r>
            <w:r>
              <w:tab/>
            </w:r>
            <w:r>
              <w:fldChar w:fldCharType="begin"/>
            </w:r>
            <w:r>
              <w:instrText xml:space="preserve"> PAGEREF _Toc32140 \h </w:instrText>
            </w:r>
            <w:r>
              <w:fldChar w:fldCharType="separate"/>
            </w:r>
            <w:r>
              <w:t>1</w:t>
            </w:r>
            <w:r>
              <w:fldChar w:fldCharType="end"/>
            </w:r>
          </w:hyperlink>
        </w:p>
        <w:p w14:paraId="61100CC7" w14:textId="77777777" w:rsidR="00D25711" w:rsidRDefault="00D25711">
          <w:pPr>
            <w:pStyle w:val="TOC1"/>
            <w:tabs>
              <w:tab w:val="right" w:leader="dot" w:pos="8306"/>
            </w:tabs>
          </w:pPr>
          <w:hyperlink w:anchor="_Toc10810" w:history="1">
            <w:r>
              <w:rPr>
                <w:lang w:eastAsia="zh-CN"/>
              </w:rPr>
              <w:t xml:space="preserve">1. </w:t>
            </w:r>
            <w:r>
              <w:rPr>
                <w:lang w:eastAsia="zh-CN"/>
              </w:rPr>
              <w:t>阶段概述与目标回顾</w:t>
            </w:r>
            <w:r>
              <w:tab/>
            </w:r>
            <w:r>
              <w:fldChar w:fldCharType="begin"/>
            </w:r>
            <w:r>
              <w:instrText xml:space="preserve"> PAGEREF _Toc10810 \h </w:instrText>
            </w:r>
            <w:r>
              <w:fldChar w:fldCharType="separate"/>
            </w:r>
            <w:r>
              <w:t>4</w:t>
            </w:r>
            <w:r>
              <w:fldChar w:fldCharType="end"/>
            </w:r>
          </w:hyperlink>
        </w:p>
        <w:p w14:paraId="3FC72A86" w14:textId="77777777" w:rsidR="00D25711" w:rsidRDefault="00D25711">
          <w:pPr>
            <w:pStyle w:val="TOC1"/>
            <w:tabs>
              <w:tab w:val="right" w:leader="dot" w:pos="8306"/>
            </w:tabs>
          </w:pPr>
          <w:hyperlink w:anchor="_Toc19485" w:history="1">
            <w:r>
              <w:rPr>
                <w:lang w:eastAsia="zh-CN"/>
              </w:rPr>
              <w:t xml:space="preserve">2. </w:t>
            </w:r>
            <w:r>
              <w:rPr>
                <w:lang w:eastAsia="zh-CN"/>
              </w:rPr>
              <w:t>主要工作成果与完成情况</w:t>
            </w:r>
            <w:r>
              <w:tab/>
            </w:r>
            <w:r>
              <w:fldChar w:fldCharType="begin"/>
            </w:r>
            <w:r>
              <w:instrText xml:space="preserve"> PAGEREF _Toc19485 \h </w:instrText>
            </w:r>
            <w:r>
              <w:fldChar w:fldCharType="separate"/>
            </w:r>
            <w:r>
              <w:t>4</w:t>
            </w:r>
            <w:r>
              <w:fldChar w:fldCharType="end"/>
            </w:r>
          </w:hyperlink>
        </w:p>
        <w:p w14:paraId="56B736A9" w14:textId="77777777" w:rsidR="00D25711" w:rsidRDefault="00D25711">
          <w:pPr>
            <w:pStyle w:val="TOC2"/>
            <w:tabs>
              <w:tab w:val="right" w:leader="dot" w:pos="8306"/>
            </w:tabs>
          </w:pPr>
          <w:hyperlink w:anchor="_Toc1881" w:history="1">
            <w:r>
              <w:rPr>
                <w:lang w:eastAsia="zh-CN"/>
              </w:rPr>
              <w:t xml:space="preserve">2.1. </w:t>
            </w:r>
            <w:r>
              <w:rPr>
                <w:lang w:eastAsia="zh-CN"/>
              </w:rPr>
              <w:t>硬件部署与基础设施建设</w:t>
            </w:r>
            <w:r>
              <w:tab/>
            </w:r>
            <w:r>
              <w:fldChar w:fldCharType="begin"/>
            </w:r>
            <w:r>
              <w:instrText xml:space="preserve"> PAGEREF _Toc1881 \h </w:instrText>
            </w:r>
            <w:r>
              <w:fldChar w:fldCharType="separate"/>
            </w:r>
            <w:r>
              <w:t>4</w:t>
            </w:r>
            <w:r>
              <w:fldChar w:fldCharType="end"/>
            </w:r>
          </w:hyperlink>
        </w:p>
        <w:p w14:paraId="4DB8E562" w14:textId="77777777" w:rsidR="00D25711" w:rsidRDefault="00D25711">
          <w:pPr>
            <w:pStyle w:val="TOC2"/>
            <w:tabs>
              <w:tab w:val="right" w:leader="dot" w:pos="8306"/>
            </w:tabs>
          </w:pPr>
          <w:hyperlink w:anchor="_Toc26856" w:history="1">
            <w:r>
              <w:rPr>
                <w:lang w:eastAsia="zh-CN"/>
              </w:rPr>
              <w:t xml:space="preserve">2.2. </w:t>
            </w:r>
            <w:r>
              <w:rPr>
                <w:lang w:eastAsia="zh-CN"/>
              </w:rPr>
              <w:t>智慧农业大数据平台软件开发</w:t>
            </w:r>
            <w:r>
              <w:tab/>
            </w:r>
            <w:r>
              <w:fldChar w:fldCharType="begin"/>
            </w:r>
            <w:r>
              <w:instrText xml:space="preserve"> PAGEREF _Toc26856 \h </w:instrText>
            </w:r>
            <w:r>
              <w:fldChar w:fldCharType="separate"/>
            </w:r>
            <w:r>
              <w:t>4</w:t>
            </w:r>
            <w:r>
              <w:fldChar w:fldCharType="end"/>
            </w:r>
          </w:hyperlink>
        </w:p>
        <w:p w14:paraId="4944C155" w14:textId="77777777" w:rsidR="00D25711" w:rsidRDefault="00D25711">
          <w:pPr>
            <w:pStyle w:val="TOC2"/>
            <w:tabs>
              <w:tab w:val="right" w:leader="dot" w:pos="8306"/>
            </w:tabs>
          </w:pPr>
          <w:hyperlink w:anchor="_Toc26789" w:history="1">
            <w:r>
              <w:rPr>
                <w:lang w:eastAsia="zh-CN"/>
              </w:rPr>
              <w:t xml:space="preserve">2.3. </w:t>
            </w:r>
            <w:r>
              <w:rPr>
                <w:lang w:eastAsia="zh-CN"/>
              </w:rPr>
              <w:t>数据清洗专项工作</w:t>
            </w:r>
            <w:r>
              <w:tab/>
            </w:r>
            <w:r>
              <w:fldChar w:fldCharType="begin"/>
            </w:r>
            <w:r>
              <w:instrText xml:space="preserve"> PAGEREF _Toc26789 \h </w:instrText>
            </w:r>
            <w:r>
              <w:fldChar w:fldCharType="separate"/>
            </w:r>
            <w:r>
              <w:t>4</w:t>
            </w:r>
            <w:r>
              <w:fldChar w:fldCharType="end"/>
            </w:r>
          </w:hyperlink>
        </w:p>
        <w:p w14:paraId="6DB9C6D2" w14:textId="77777777" w:rsidR="00D25711" w:rsidRDefault="00D25711">
          <w:pPr>
            <w:pStyle w:val="TOC2"/>
            <w:tabs>
              <w:tab w:val="right" w:leader="dot" w:pos="8306"/>
            </w:tabs>
          </w:pPr>
          <w:hyperlink w:anchor="_Toc8608" w:history="1">
            <w:r>
              <w:rPr>
                <w:lang w:eastAsia="zh-CN"/>
              </w:rPr>
              <w:t xml:space="preserve">2.4. </w:t>
            </w:r>
            <w:r>
              <w:rPr>
                <w:lang w:eastAsia="zh-CN"/>
              </w:rPr>
              <w:t>系统集成与联合调试</w:t>
            </w:r>
            <w:r>
              <w:tab/>
            </w:r>
            <w:r>
              <w:fldChar w:fldCharType="begin"/>
            </w:r>
            <w:r>
              <w:instrText xml:space="preserve"> PAGEREF _Toc8608 \h </w:instrText>
            </w:r>
            <w:r>
              <w:fldChar w:fldCharType="separate"/>
            </w:r>
            <w:r>
              <w:t>5</w:t>
            </w:r>
            <w:r>
              <w:fldChar w:fldCharType="end"/>
            </w:r>
          </w:hyperlink>
        </w:p>
        <w:p w14:paraId="0B0D6A8B" w14:textId="77777777" w:rsidR="00D25711" w:rsidRDefault="00D25711">
          <w:pPr>
            <w:pStyle w:val="TOC1"/>
            <w:tabs>
              <w:tab w:val="right" w:leader="dot" w:pos="8306"/>
            </w:tabs>
          </w:pPr>
          <w:hyperlink w:anchor="_Toc7628" w:history="1">
            <w:r>
              <w:rPr>
                <w:lang w:eastAsia="zh-CN"/>
              </w:rPr>
              <w:t xml:space="preserve">3. </w:t>
            </w:r>
            <w:r>
              <w:rPr>
                <w:lang w:eastAsia="zh-CN"/>
              </w:rPr>
              <w:t>关键绩效指标（</w:t>
            </w:r>
            <w:r>
              <w:rPr>
                <w:lang w:eastAsia="zh-CN"/>
              </w:rPr>
              <w:t>KPI</w:t>
            </w:r>
            <w:r>
              <w:rPr>
                <w:lang w:eastAsia="zh-CN"/>
              </w:rPr>
              <w:t>）与交付物达成情况</w:t>
            </w:r>
            <w:r>
              <w:tab/>
            </w:r>
            <w:r>
              <w:fldChar w:fldCharType="begin"/>
            </w:r>
            <w:r>
              <w:instrText xml:space="preserve"> PAGEREF _Toc7628 \h </w:instrText>
            </w:r>
            <w:r>
              <w:fldChar w:fldCharType="separate"/>
            </w:r>
            <w:r>
              <w:t>5</w:t>
            </w:r>
            <w:r>
              <w:fldChar w:fldCharType="end"/>
            </w:r>
          </w:hyperlink>
        </w:p>
        <w:p w14:paraId="1CBCFA8A" w14:textId="77777777" w:rsidR="00D25711" w:rsidRDefault="00D25711">
          <w:pPr>
            <w:pStyle w:val="TOC1"/>
            <w:tabs>
              <w:tab w:val="right" w:leader="dot" w:pos="8306"/>
            </w:tabs>
          </w:pPr>
          <w:hyperlink w:anchor="_Toc1242" w:history="1">
            <w:r>
              <w:rPr>
                <w:lang w:eastAsia="zh-CN"/>
              </w:rPr>
              <w:t xml:space="preserve">4. </w:t>
            </w:r>
            <w:r>
              <w:rPr>
                <w:lang w:eastAsia="zh-CN"/>
              </w:rPr>
              <w:t>遇到的问题、解决方案与经验总结</w:t>
            </w:r>
            <w:r>
              <w:tab/>
            </w:r>
            <w:r>
              <w:fldChar w:fldCharType="begin"/>
            </w:r>
            <w:r>
              <w:instrText xml:space="preserve"> PAGEREF _Toc1242 \h </w:instrText>
            </w:r>
            <w:r>
              <w:fldChar w:fldCharType="separate"/>
            </w:r>
            <w:r>
              <w:t>5</w:t>
            </w:r>
            <w:r>
              <w:fldChar w:fldCharType="end"/>
            </w:r>
          </w:hyperlink>
        </w:p>
        <w:p w14:paraId="18E441C6" w14:textId="77777777" w:rsidR="00D25711" w:rsidRDefault="00D25711">
          <w:pPr>
            <w:pStyle w:val="TOC2"/>
            <w:tabs>
              <w:tab w:val="right" w:leader="dot" w:pos="8306"/>
            </w:tabs>
          </w:pPr>
          <w:hyperlink w:anchor="_Toc2603" w:history="1">
            <w:r>
              <w:rPr>
                <w:lang w:eastAsia="zh-CN"/>
              </w:rPr>
              <w:t xml:space="preserve">4.1. </w:t>
            </w:r>
            <w:r>
              <w:rPr>
                <w:lang w:eastAsia="zh-CN"/>
              </w:rPr>
              <w:t>主要问题与挑战</w:t>
            </w:r>
            <w:r>
              <w:tab/>
            </w:r>
            <w:r>
              <w:fldChar w:fldCharType="begin"/>
            </w:r>
            <w:r>
              <w:instrText xml:space="preserve"> PAGEREF _Toc2603 \h </w:instrText>
            </w:r>
            <w:r>
              <w:fldChar w:fldCharType="separate"/>
            </w:r>
            <w:r>
              <w:t>5</w:t>
            </w:r>
            <w:r>
              <w:fldChar w:fldCharType="end"/>
            </w:r>
          </w:hyperlink>
        </w:p>
        <w:p w14:paraId="07BC00E8" w14:textId="77777777" w:rsidR="00D25711" w:rsidRDefault="00D25711">
          <w:pPr>
            <w:pStyle w:val="TOC2"/>
            <w:tabs>
              <w:tab w:val="right" w:leader="dot" w:pos="8306"/>
            </w:tabs>
          </w:pPr>
          <w:hyperlink w:anchor="_Toc9016" w:history="1">
            <w:r>
              <w:rPr>
                <w:lang w:eastAsia="zh-CN"/>
              </w:rPr>
              <w:t xml:space="preserve">4.2. </w:t>
            </w:r>
            <w:r>
              <w:rPr>
                <w:lang w:eastAsia="zh-CN"/>
              </w:rPr>
              <w:t>解决方案与措施</w:t>
            </w:r>
            <w:r>
              <w:tab/>
            </w:r>
            <w:r>
              <w:fldChar w:fldCharType="begin"/>
            </w:r>
            <w:r>
              <w:instrText xml:space="preserve"> PAGEREF _Toc9016 \h </w:instrText>
            </w:r>
            <w:r>
              <w:fldChar w:fldCharType="separate"/>
            </w:r>
            <w:r>
              <w:t>5</w:t>
            </w:r>
            <w:r>
              <w:fldChar w:fldCharType="end"/>
            </w:r>
          </w:hyperlink>
        </w:p>
        <w:p w14:paraId="527B6BB1" w14:textId="77777777" w:rsidR="00D25711" w:rsidRDefault="00D25711">
          <w:pPr>
            <w:pStyle w:val="TOC2"/>
            <w:tabs>
              <w:tab w:val="right" w:leader="dot" w:pos="8306"/>
            </w:tabs>
          </w:pPr>
          <w:hyperlink w:anchor="_Toc5064" w:history="1">
            <w:r>
              <w:rPr>
                <w:lang w:eastAsia="zh-CN"/>
              </w:rPr>
              <w:t xml:space="preserve">4.3. </w:t>
            </w:r>
            <w:r>
              <w:rPr>
                <w:lang w:eastAsia="zh-CN"/>
              </w:rPr>
              <w:t>经验总结</w:t>
            </w:r>
            <w:r>
              <w:tab/>
            </w:r>
            <w:r>
              <w:fldChar w:fldCharType="begin"/>
            </w:r>
            <w:r>
              <w:instrText xml:space="preserve"> PAGEREF _Toc5064 \h </w:instrText>
            </w:r>
            <w:r>
              <w:fldChar w:fldCharType="separate"/>
            </w:r>
            <w:r>
              <w:t>6</w:t>
            </w:r>
            <w:r>
              <w:fldChar w:fldCharType="end"/>
            </w:r>
          </w:hyperlink>
        </w:p>
        <w:p w14:paraId="63DF53F8" w14:textId="77777777" w:rsidR="00D25711" w:rsidRDefault="00D25711">
          <w:pPr>
            <w:pStyle w:val="TOC1"/>
            <w:tabs>
              <w:tab w:val="right" w:leader="dot" w:pos="8306"/>
            </w:tabs>
          </w:pPr>
          <w:hyperlink w:anchor="_Toc10980" w:history="1">
            <w:r>
              <w:rPr>
                <w:lang w:eastAsia="zh-CN"/>
              </w:rPr>
              <w:t xml:space="preserve">5. </w:t>
            </w:r>
            <w:r>
              <w:rPr>
                <w:lang w:eastAsia="zh-CN"/>
              </w:rPr>
              <w:t>下一阶段详细计划</w:t>
            </w:r>
            <w:r>
              <w:tab/>
            </w:r>
            <w:r>
              <w:fldChar w:fldCharType="begin"/>
            </w:r>
            <w:r>
              <w:instrText xml:space="preserve"> PAGEREF _Toc10980 \h </w:instrText>
            </w:r>
            <w:r>
              <w:fldChar w:fldCharType="separate"/>
            </w:r>
            <w:r>
              <w:t>6</w:t>
            </w:r>
            <w:r>
              <w:fldChar w:fldCharType="end"/>
            </w:r>
          </w:hyperlink>
        </w:p>
        <w:p w14:paraId="09A535CD" w14:textId="77777777" w:rsidR="00D25711" w:rsidRDefault="00D25711">
          <w:pPr>
            <w:pStyle w:val="TOC1"/>
            <w:tabs>
              <w:tab w:val="right" w:leader="dot" w:pos="8306"/>
            </w:tabs>
          </w:pPr>
          <w:hyperlink w:anchor="_Toc5976" w:history="1">
            <w:r>
              <w:rPr>
                <w:lang w:eastAsia="zh-CN"/>
              </w:rPr>
              <w:t xml:space="preserve">6. </w:t>
            </w:r>
            <w:r>
              <w:rPr>
                <w:lang w:eastAsia="zh-CN"/>
              </w:rPr>
              <w:t>当前主要风险评估与建议</w:t>
            </w:r>
            <w:r>
              <w:tab/>
            </w:r>
            <w:r>
              <w:fldChar w:fldCharType="begin"/>
            </w:r>
            <w:r>
              <w:instrText xml:space="preserve"> PAGEREF _Toc5976 \h </w:instrText>
            </w:r>
            <w:r>
              <w:fldChar w:fldCharType="separate"/>
            </w:r>
            <w:r>
              <w:t>7</w:t>
            </w:r>
            <w:r>
              <w:fldChar w:fldCharType="end"/>
            </w:r>
          </w:hyperlink>
        </w:p>
        <w:p w14:paraId="220DB1BF" w14:textId="77777777" w:rsidR="00D25711" w:rsidRDefault="00D25711">
          <w:pPr>
            <w:pStyle w:val="TOC1"/>
            <w:tabs>
              <w:tab w:val="right" w:leader="dot" w:pos="8306"/>
            </w:tabs>
          </w:pPr>
          <w:hyperlink w:anchor="_Toc14357" w:history="1">
            <w:r>
              <w:rPr>
                <w:lang w:eastAsia="zh-CN"/>
              </w:rPr>
              <w:t xml:space="preserve">7. </w:t>
            </w:r>
            <w:r>
              <w:rPr>
                <w:lang w:eastAsia="zh-CN"/>
              </w:rPr>
              <w:t>结论与提请决策事项</w:t>
            </w:r>
            <w:r>
              <w:tab/>
            </w:r>
            <w:r>
              <w:fldChar w:fldCharType="begin"/>
            </w:r>
            <w:r>
              <w:instrText xml:space="preserve"> PAGEREF _Toc14357 \h </w:instrText>
            </w:r>
            <w:r>
              <w:fldChar w:fldCharType="separate"/>
            </w:r>
            <w:r>
              <w:t>7</w:t>
            </w:r>
            <w:r>
              <w:fldChar w:fldCharType="end"/>
            </w:r>
          </w:hyperlink>
        </w:p>
        <w:p w14:paraId="0268AFAD" w14:textId="77777777" w:rsidR="00D25711" w:rsidRDefault="00000000">
          <w:pPr>
            <w:widowControl w:val="0"/>
            <w:rPr>
              <w:rFonts w:ascii="宋体" w:hAnsi="宋体" w:cs="宋体" w:hint="eastAsia"/>
              <w:sz w:val="24"/>
              <w:szCs w:val="24"/>
            </w:rPr>
          </w:pPr>
          <w:r>
            <w:rPr>
              <w:rFonts w:ascii="宋体" w:hAnsi="宋体" w:cs="宋体" w:hint="eastAsia"/>
              <w:szCs w:val="24"/>
            </w:rPr>
            <w:fldChar w:fldCharType="end"/>
          </w:r>
        </w:p>
      </w:sdtContent>
    </w:sdt>
    <w:p w14:paraId="052837AC" w14:textId="77777777" w:rsidR="00D25711" w:rsidRDefault="00000000">
      <w:pPr>
        <w:widowControl w:val="0"/>
        <w:rPr>
          <w:rFonts w:eastAsia="Arial"/>
        </w:rPr>
      </w:pPr>
      <w:r>
        <w:rPr>
          <w:rFonts w:eastAsia="Arial"/>
        </w:rPr>
        <w:br w:type="page"/>
      </w:r>
    </w:p>
    <w:p w14:paraId="72EC8153" w14:textId="77777777" w:rsidR="00D25711" w:rsidRDefault="00000000">
      <w:pPr>
        <w:pStyle w:val="10"/>
        <w:rPr>
          <w:lang w:eastAsia="zh-CN"/>
        </w:rPr>
      </w:pPr>
      <w:bookmarkStart w:id="2" w:name="_Toc10810"/>
      <w:r>
        <w:rPr>
          <w:lang w:eastAsia="zh-CN"/>
        </w:rPr>
        <w:lastRenderedPageBreak/>
        <w:t>阶段概述与目标回顾</w:t>
      </w:r>
      <w:bookmarkEnd w:id="2"/>
    </w:p>
    <w:p w14:paraId="762A34B1" w14:textId="77777777" w:rsidR="00D25711" w:rsidRDefault="00000000">
      <w:pPr>
        <w:pStyle w:val="ad"/>
        <w:widowControl w:val="0"/>
        <w:ind w:firstLine="480"/>
      </w:pPr>
      <w:r>
        <w:t>本报告旨在对</w:t>
      </w:r>
      <w:r>
        <w:t>“</w:t>
      </w:r>
      <w:r>
        <w:t>烟台林海嵎峡田综合体智慧农业大数据平台建设项目</w:t>
      </w:r>
      <w:r>
        <w:t>”</w:t>
      </w:r>
      <w:r>
        <w:t>自开工至系统集成联调完毕的关键建设阶段，进行全面总结与评估。本阶段核心目标是完成合同规定的所有硬件安装、软件开发、数据治理及系统集成工作，形成一个具备全部预设功能的、可运行的系统原型，为后续为期一个月的试运行与最终验收奠定坚实基础。</w:t>
      </w:r>
    </w:p>
    <w:p w14:paraId="4C345C6B" w14:textId="77777777" w:rsidR="00D25711" w:rsidRDefault="00000000">
      <w:pPr>
        <w:pStyle w:val="ad"/>
        <w:widowControl w:val="0"/>
        <w:ind w:firstLine="480"/>
      </w:pPr>
      <w:r>
        <w:t>本阶段工作严格遵循《项目总体实施方案》的规划，涵盖了详细设计、硬件部署、软件开发、数据清洗专项实施及系统集成联调五大核心任务。现将主要工作成果、关键指标达成情况、遇到的问题及下一阶段计划汇报如下。</w:t>
      </w:r>
    </w:p>
    <w:p w14:paraId="0FCA40ED" w14:textId="77777777" w:rsidR="00D25711" w:rsidRDefault="00000000">
      <w:pPr>
        <w:pStyle w:val="10"/>
        <w:rPr>
          <w:lang w:eastAsia="zh-CN"/>
        </w:rPr>
      </w:pPr>
      <w:bookmarkStart w:id="3" w:name="_Toc19485"/>
      <w:r>
        <w:rPr>
          <w:lang w:eastAsia="zh-CN"/>
        </w:rPr>
        <w:t>主要工作成果与完成情况</w:t>
      </w:r>
      <w:bookmarkEnd w:id="3"/>
    </w:p>
    <w:p w14:paraId="5D298595" w14:textId="77777777" w:rsidR="00D25711" w:rsidRDefault="00000000">
      <w:pPr>
        <w:pStyle w:val="20"/>
        <w:rPr>
          <w:lang w:eastAsia="zh-CN"/>
        </w:rPr>
      </w:pPr>
      <w:bookmarkStart w:id="4" w:name="_Toc1881"/>
      <w:r>
        <w:rPr>
          <w:lang w:eastAsia="zh-CN"/>
        </w:rPr>
        <w:t>硬件部署与基础设施建设</w:t>
      </w:r>
      <w:bookmarkEnd w:id="4"/>
    </w:p>
    <w:p w14:paraId="1CF69BE5" w14:textId="0EE07B53" w:rsidR="00D25711" w:rsidRDefault="00000000">
      <w:pPr>
        <w:pStyle w:val="ad"/>
        <w:widowControl w:val="0"/>
        <w:ind w:firstLine="480"/>
      </w:pPr>
      <w:r>
        <w:t>已严格按照合同附件《供货清单》及设计图纸，完成全部硬件设备的到货、验收、安装与单体调试。具体包括：园区全域共计</w:t>
      </w:r>
      <w:r>
        <w:t>112</w:t>
      </w:r>
      <w:r>
        <w:t>台各类摄像机的安装与点位调优；网络系统（光缆敷设、交换机配置）的全面打通；中心机房内服务器、存储、大屏及配套设施的部署上架；以及太阳能供电系统等基础设施的建设和接入。所有设备安装牢固，线路规范，通过了内部三级质量检验，并于</w:t>
      </w:r>
      <w:r w:rsidR="008D48F7">
        <w:rPr>
          <w:rFonts w:hint="eastAsia"/>
        </w:rPr>
        <w:t>9</w:t>
      </w:r>
      <w:r>
        <w:t>月</w:t>
      </w:r>
      <w:r>
        <w:t>25</w:t>
      </w:r>
      <w:r>
        <w:t>日完成与甲方的联合现场踏勘确认。</w:t>
      </w:r>
    </w:p>
    <w:p w14:paraId="3BC74FD9" w14:textId="77777777" w:rsidR="00D25711" w:rsidRDefault="00000000">
      <w:pPr>
        <w:pStyle w:val="20"/>
        <w:rPr>
          <w:lang w:eastAsia="zh-CN"/>
        </w:rPr>
      </w:pPr>
      <w:bookmarkStart w:id="5" w:name="_Toc26856"/>
      <w:r>
        <w:rPr>
          <w:lang w:eastAsia="zh-CN"/>
        </w:rPr>
        <w:t>智慧农业大数据平台软件开发</w:t>
      </w:r>
      <w:bookmarkEnd w:id="5"/>
    </w:p>
    <w:p w14:paraId="684EFF63" w14:textId="77777777" w:rsidR="00D25711" w:rsidRDefault="00000000">
      <w:pPr>
        <w:pStyle w:val="ad"/>
        <w:widowControl w:val="0"/>
        <w:ind w:firstLine="480"/>
      </w:pPr>
      <w:r>
        <w:t>平台软件</w:t>
      </w:r>
      <w:r>
        <w:t>V1.0</w:t>
      </w:r>
      <w:r>
        <w:t>版本已开发部署完毕。核心功能模块，包括全域视频监控、物联网数据接入与展示、</w:t>
      </w:r>
      <w:r>
        <w:t>AI</w:t>
      </w:r>
      <w:r>
        <w:t>智能分析事件中心、基础</w:t>
      </w:r>
      <w:r>
        <w:t>GIS</w:t>
      </w:r>
      <w:r>
        <w:t>地图服务、综合运营数据看板等均已实现。平台用户界面已完成与甲方业务部门的初步评审与优化，具备基础的用户操作与权限管理功能。</w:t>
      </w:r>
    </w:p>
    <w:p w14:paraId="39A864B6" w14:textId="77777777" w:rsidR="00D25711" w:rsidRDefault="00000000">
      <w:pPr>
        <w:pStyle w:val="20"/>
        <w:rPr>
          <w:lang w:eastAsia="zh-CN"/>
        </w:rPr>
      </w:pPr>
      <w:bookmarkStart w:id="6" w:name="_Toc26789"/>
      <w:r>
        <w:rPr>
          <w:lang w:eastAsia="zh-CN"/>
        </w:rPr>
        <w:t>数据清洗专项工作</w:t>
      </w:r>
      <w:bookmarkEnd w:id="6"/>
    </w:p>
    <w:p w14:paraId="0C2C7B9A" w14:textId="77777777" w:rsidR="00D25711" w:rsidRDefault="00000000">
      <w:pPr>
        <w:pStyle w:val="ad"/>
        <w:widowControl w:val="0"/>
        <w:ind w:firstLine="480"/>
      </w:pPr>
      <w:r>
        <w:t>作为项目的关键专项，数据清洗工作已依据《数据清洗策略方案》完成实施。针对视频、传感器、日志、业务四类数据域的清洗规则已完成开发、测试</w:t>
      </w:r>
      <w:r>
        <w:lastRenderedPageBreak/>
        <w:t>并部署上线。初步监控数据显示，数据接入通道稳定，基础清洗逻辑运行正常。专项的《数据清洗模块测试报告》已作为独立交付物提交。</w:t>
      </w:r>
    </w:p>
    <w:p w14:paraId="218E827D" w14:textId="77777777" w:rsidR="00D25711" w:rsidRDefault="00000000">
      <w:pPr>
        <w:pStyle w:val="20"/>
        <w:rPr>
          <w:lang w:eastAsia="zh-CN"/>
        </w:rPr>
      </w:pPr>
      <w:bookmarkStart w:id="7" w:name="_Toc8608"/>
      <w:r>
        <w:rPr>
          <w:lang w:eastAsia="zh-CN"/>
        </w:rPr>
        <w:t>系统集成与联合调试</w:t>
      </w:r>
      <w:bookmarkEnd w:id="7"/>
    </w:p>
    <w:p w14:paraId="7330AA15" w14:textId="5F42BCBB" w:rsidR="00D25711" w:rsidRDefault="00000000">
      <w:pPr>
        <w:pStyle w:val="ad"/>
        <w:widowControl w:val="0"/>
        <w:ind w:firstLine="480"/>
      </w:pPr>
      <w:r>
        <w:t>自</w:t>
      </w:r>
      <w:r w:rsidR="008D48F7">
        <w:rPr>
          <w:rFonts w:hint="eastAsia"/>
        </w:rPr>
        <w:t>9</w:t>
      </w:r>
      <w:r>
        <w:t>月</w:t>
      </w:r>
      <w:r>
        <w:t>10</w:t>
      </w:r>
      <w:r>
        <w:t>日起，项目组组织了为期三周的系统集成联调。截至目前，已完成软硬件连通性测试、主要业务场景的功能串联测试。视频监控实时调阅、传感器数据历史查询、基础告警触发等核心流程已跑通。联调共发现并记录缺陷</w:t>
      </w:r>
      <w:r>
        <w:t>58</w:t>
      </w:r>
      <w:r>
        <w:t>项，其中优先级为</w:t>
      </w:r>
      <w:r>
        <w:t>“</w:t>
      </w:r>
      <w:r>
        <w:t>高</w:t>
      </w:r>
      <w:r>
        <w:t>”</w:t>
      </w:r>
      <w:r>
        <w:t>的</w:t>
      </w:r>
      <w:r>
        <w:t>15</w:t>
      </w:r>
      <w:r>
        <w:t>项已全部修复，剩余</w:t>
      </w:r>
      <w:r>
        <w:t>43</w:t>
      </w:r>
      <w:r>
        <w:t>项中、低级缺陷已列入修复计划。</w:t>
      </w:r>
    </w:p>
    <w:p w14:paraId="2CF9DC12" w14:textId="77777777" w:rsidR="00D25711" w:rsidRDefault="00000000">
      <w:pPr>
        <w:pStyle w:val="10"/>
        <w:rPr>
          <w:lang w:eastAsia="zh-CN"/>
        </w:rPr>
      </w:pPr>
      <w:bookmarkStart w:id="8" w:name="_Toc7628"/>
      <w:r>
        <w:rPr>
          <w:lang w:eastAsia="zh-CN"/>
        </w:rPr>
        <w:t>关键绩效指标（</w:t>
      </w:r>
      <w:r>
        <w:rPr>
          <w:lang w:eastAsia="zh-CN"/>
        </w:rPr>
        <w:t>KPI</w:t>
      </w:r>
      <w:r>
        <w:rPr>
          <w:lang w:eastAsia="zh-CN"/>
        </w:rPr>
        <w:t>）与交付物达成情况</w:t>
      </w:r>
      <w:bookmarkEnd w:id="8"/>
    </w:p>
    <w:p w14:paraId="087C5C82" w14:textId="77777777" w:rsidR="00D25711" w:rsidRDefault="00000000">
      <w:pPr>
        <w:pStyle w:val="ad"/>
        <w:widowControl w:val="0"/>
        <w:ind w:firstLine="480"/>
      </w:pPr>
      <w:r>
        <w:t>本阶段计划内的所有关键交付物均已产出并提交评审。硬件方面，提交了完整的《设备安装竣工图册》与《调试报告》。软件方面，提交了《软件系统部署手册》及</w:t>
      </w:r>
      <w:r>
        <w:t>V1.0</w:t>
      </w:r>
      <w:r>
        <w:t>版本程序。数据专项方面，提交了《数据清洗实施方法》及《模块测试报告》。管理方面，按计划提交了周报、巡检问题整改报告等过程文件。</w:t>
      </w:r>
    </w:p>
    <w:p w14:paraId="25F5A305" w14:textId="77777777" w:rsidR="00D25711" w:rsidRDefault="00000000">
      <w:pPr>
        <w:pStyle w:val="ad"/>
        <w:widowControl w:val="0"/>
        <w:ind w:firstLine="480"/>
      </w:pPr>
      <w:r>
        <w:t>在关键绩效指标上，本阶段聚焦过程性</w:t>
      </w:r>
      <w:r>
        <w:t>KPI</w:t>
      </w:r>
      <w:r>
        <w:t>，基本达成目标：项目整体进度符合总计划，偏差控制在</w:t>
      </w:r>
      <w:r>
        <w:t>5%</w:t>
      </w:r>
      <w:r>
        <w:t>以内；硬件安装一次验收通过率达到</w:t>
      </w:r>
      <w:r>
        <w:t>98%</w:t>
      </w:r>
      <w:r>
        <w:t>；软件系统核心功能实现率为</w:t>
      </w:r>
      <w:r>
        <w:t>100%</w:t>
      </w:r>
      <w:r>
        <w:t>；系统集成联调的关键路径任务已全部完成。</w:t>
      </w:r>
    </w:p>
    <w:p w14:paraId="5B7BCEB5" w14:textId="77777777" w:rsidR="00D25711" w:rsidRDefault="00000000">
      <w:pPr>
        <w:pStyle w:val="10"/>
        <w:rPr>
          <w:lang w:eastAsia="zh-CN"/>
        </w:rPr>
      </w:pPr>
      <w:bookmarkStart w:id="9" w:name="_Toc1242"/>
      <w:r>
        <w:rPr>
          <w:lang w:eastAsia="zh-CN"/>
        </w:rPr>
        <w:t>遇到的问题、解决方案与经验总结</w:t>
      </w:r>
      <w:bookmarkEnd w:id="9"/>
    </w:p>
    <w:p w14:paraId="37B5D211" w14:textId="77777777" w:rsidR="00D25711" w:rsidRDefault="00000000">
      <w:pPr>
        <w:pStyle w:val="20"/>
        <w:rPr>
          <w:lang w:eastAsia="zh-CN"/>
        </w:rPr>
      </w:pPr>
      <w:bookmarkStart w:id="10" w:name="_Toc2603"/>
      <w:r>
        <w:rPr>
          <w:lang w:eastAsia="zh-CN"/>
        </w:rPr>
        <w:t>主要问题与挑战</w:t>
      </w:r>
      <w:bookmarkEnd w:id="10"/>
    </w:p>
    <w:p w14:paraId="5548A79F" w14:textId="77777777" w:rsidR="00D25711" w:rsidRDefault="00000000">
      <w:pPr>
        <w:pStyle w:val="ad"/>
        <w:widowControl w:val="0"/>
        <w:ind w:firstLine="480"/>
      </w:pPr>
      <w:r>
        <w:t>技术集成复杂性：多品牌设备（如大华、华为、星网锐捷）在协议兼容性与深度联动上遇到挑战，尤其是报警事件的跨系统无缝推送。</w:t>
      </w:r>
    </w:p>
    <w:p w14:paraId="5F53699C" w14:textId="77777777" w:rsidR="00D25711" w:rsidRDefault="00000000">
      <w:pPr>
        <w:pStyle w:val="ad"/>
        <w:widowControl w:val="0"/>
        <w:ind w:firstLine="480"/>
      </w:pPr>
      <w:r>
        <w:t>需求细节的明确：在开发中期，部分业务场景（如数据分析报表的具体维度）的需求细节经过多轮澄清才得以最终确认。</w:t>
      </w:r>
    </w:p>
    <w:p w14:paraId="1E076043" w14:textId="77777777" w:rsidR="00D25711" w:rsidRDefault="00000000">
      <w:pPr>
        <w:pStyle w:val="ad"/>
        <w:widowControl w:val="0"/>
        <w:ind w:firstLine="480"/>
      </w:pPr>
      <w:r>
        <w:t>现场施工协调：园区农业生产与施工并行，对部分点位的安装进度造成一定影响。</w:t>
      </w:r>
    </w:p>
    <w:p w14:paraId="1C04B4F9" w14:textId="77777777" w:rsidR="00D25711" w:rsidRDefault="00000000">
      <w:pPr>
        <w:pStyle w:val="20"/>
        <w:rPr>
          <w:lang w:eastAsia="zh-CN"/>
        </w:rPr>
      </w:pPr>
      <w:bookmarkStart w:id="11" w:name="_Toc9016"/>
      <w:r>
        <w:rPr>
          <w:lang w:eastAsia="zh-CN"/>
        </w:rPr>
        <w:lastRenderedPageBreak/>
        <w:t>解决方案与措施</w:t>
      </w:r>
      <w:bookmarkEnd w:id="11"/>
    </w:p>
    <w:p w14:paraId="7B9F64A2" w14:textId="77777777" w:rsidR="00D25711" w:rsidRDefault="00000000">
      <w:pPr>
        <w:pStyle w:val="ad"/>
        <w:widowControl w:val="0"/>
        <w:ind w:firstLine="480"/>
      </w:pPr>
      <w:r>
        <w:t>针对技术集成问题，项目组协调原厂技术支持，并投入额外研发资源进行接口适配与中间件开发，确保了技术闭环。</w:t>
      </w:r>
    </w:p>
    <w:p w14:paraId="2CE49330" w14:textId="77777777" w:rsidR="00D25711" w:rsidRDefault="00000000">
      <w:pPr>
        <w:pStyle w:val="ad"/>
        <w:widowControl w:val="0"/>
        <w:ind w:firstLine="480"/>
      </w:pPr>
      <w:r>
        <w:t>针对需求问题，与甲方建立了</w:t>
      </w:r>
      <w:r>
        <w:t>“</w:t>
      </w:r>
      <w:r>
        <w:t>双周迭代评审会</w:t>
      </w:r>
      <w:r>
        <w:t>”</w:t>
      </w:r>
      <w:r>
        <w:t>机制，确保需求理解实时同步、偏差快速纠正。</w:t>
      </w:r>
    </w:p>
    <w:p w14:paraId="57EF677C" w14:textId="77777777" w:rsidR="00D25711" w:rsidRDefault="00000000">
      <w:pPr>
        <w:pStyle w:val="ad"/>
        <w:widowControl w:val="0"/>
        <w:ind w:firstLine="480"/>
      </w:pPr>
      <w:r>
        <w:t>针对现场协调，与园区管理方建立了日沟通机制，灵活调整施工计划，将影响降至最低。</w:t>
      </w:r>
    </w:p>
    <w:p w14:paraId="1661F217" w14:textId="77777777" w:rsidR="00D25711" w:rsidRDefault="00000000">
      <w:pPr>
        <w:pStyle w:val="20"/>
        <w:rPr>
          <w:lang w:eastAsia="zh-CN"/>
        </w:rPr>
      </w:pPr>
      <w:bookmarkStart w:id="12" w:name="_Toc5064"/>
      <w:r>
        <w:rPr>
          <w:lang w:eastAsia="zh-CN"/>
        </w:rPr>
        <w:t>经验总结</w:t>
      </w:r>
      <w:bookmarkEnd w:id="12"/>
    </w:p>
    <w:p w14:paraId="4691215D" w14:textId="77777777" w:rsidR="00D25711" w:rsidRDefault="00000000">
      <w:pPr>
        <w:pStyle w:val="ad"/>
        <w:widowControl w:val="0"/>
        <w:ind w:firstLine="480"/>
      </w:pPr>
      <w:r>
        <w:t>前期技术验证至关重要：</w:t>
      </w:r>
      <w:r>
        <w:t xml:space="preserve"> </w:t>
      </w:r>
      <w:r>
        <w:t>对于复杂集成项目，必须在设计阶段进行关键技术点的原型验证。</w:t>
      </w:r>
    </w:p>
    <w:p w14:paraId="48B9D1CA" w14:textId="77777777" w:rsidR="00D25711" w:rsidRDefault="00000000">
      <w:pPr>
        <w:pStyle w:val="ad"/>
        <w:widowControl w:val="0"/>
        <w:ind w:firstLine="480"/>
      </w:pPr>
      <w:r>
        <w:t>敏捷沟通机制有效：</w:t>
      </w:r>
      <w:r>
        <w:t xml:space="preserve"> </w:t>
      </w:r>
      <w:r>
        <w:t>定期的、包含业务与技术人员的评审会是避免项目偏离轨道的有效保障。</w:t>
      </w:r>
    </w:p>
    <w:p w14:paraId="1BB20688" w14:textId="77777777" w:rsidR="00D25711" w:rsidRDefault="00000000">
      <w:pPr>
        <w:pStyle w:val="ad"/>
        <w:widowControl w:val="0"/>
        <w:ind w:firstLine="480"/>
      </w:pPr>
      <w:r>
        <w:t>过程文档实时性：</w:t>
      </w:r>
      <w:r>
        <w:t xml:space="preserve"> </w:t>
      </w:r>
      <w:r>
        <w:t>联调日志、问题清单的细致记录是加速问题排查和团队协作的关键。</w:t>
      </w:r>
    </w:p>
    <w:p w14:paraId="17B14236" w14:textId="77777777" w:rsidR="00D25711" w:rsidRDefault="00000000">
      <w:pPr>
        <w:pStyle w:val="10"/>
        <w:rPr>
          <w:lang w:eastAsia="zh-CN"/>
        </w:rPr>
      </w:pPr>
      <w:bookmarkStart w:id="13" w:name="_Toc10980"/>
      <w:r>
        <w:rPr>
          <w:lang w:eastAsia="zh-CN"/>
        </w:rPr>
        <w:t>下一阶段详细计划</w:t>
      </w:r>
      <w:bookmarkEnd w:id="13"/>
    </w:p>
    <w:p w14:paraId="0645CAF1" w14:textId="18FCFE5E" w:rsidR="00D25711" w:rsidRDefault="00000000">
      <w:pPr>
        <w:pStyle w:val="ad"/>
        <w:widowControl w:val="0"/>
        <w:ind w:firstLine="480"/>
      </w:pPr>
      <w:r>
        <w:t>项目将于</w:t>
      </w:r>
      <w:r w:rsidR="008D48F7">
        <w:rPr>
          <w:rFonts w:hint="eastAsia"/>
        </w:rPr>
        <w:t>11</w:t>
      </w:r>
      <w:r>
        <w:t>月</w:t>
      </w:r>
      <w:r>
        <w:t>1</w:t>
      </w:r>
      <w:r>
        <w:t>日正式进入为期一个月的系统试运行与最终验收准备阶段。该阶段核心目标是验证系统的稳定性、可靠性及业务符合度，并完成所有竣工资料的整理。</w:t>
      </w:r>
    </w:p>
    <w:p w14:paraId="3E87314E" w14:textId="345547EE" w:rsidR="00D25711" w:rsidRDefault="00000000">
      <w:pPr>
        <w:pStyle w:val="ad"/>
        <w:widowControl w:val="0"/>
        <w:ind w:firstLine="480"/>
      </w:pPr>
      <w:r>
        <w:t>1.</w:t>
      </w:r>
      <w:r>
        <w:t>试运行计划（</w:t>
      </w:r>
      <w:r w:rsidR="008D48F7">
        <w:rPr>
          <w:rFonts w:hint="eastAsia"/>
        </w:rPr>
        <w:t>11</w:t>
      </w:r>
      <w:r>
        <w:t>月</w:t>
      </w:r>
      <w:r>
        <w:t>1</w:t>
      </w:r>
      <w:r>
        <w:t>日</w:t>
      </w:r>
      <w:r>
        <w:t>-</w:t>
      </w:r>
      <w:r w:rsidR="008D48F7">
        <w:rPr>
          <w:rFonts w:hint="eastAsia"/>
        </w:rPr>
        <w:t>11</w:t>
      </w:r>
      <w:r>
        <w:t>月</w:t>
      </w:r>
      <w:r>
        <w:t>25</w:t>
      </w:r>
      <w:r>
        <w:t>日）</w:t>
      </w:r>
    </w:p>
    <w:p w14:paraId="637B4830" w14:textId="77777777" w:rsidR="00D25711" w:rsidRDefault="00000000">
      <w:pPr>
        <w:pStyle w:val="ad"/>
        <w:widowControl w:val="0"/>
        <w:ind w:firstLine="480"/>
      </w:pPr>
      <w:r>
        <w:t>稳定性运行：</w:t>
      </w:r>
      <w:r>
        <w:t xml:space="preserve"> </w:t>
      </w:r>
      <w:r>
        <w:t>系统全功能、全负荷连续运行</w:t>
      </w:r>
      <w:r>
        <w:t>25</w:t>
      </w:r>
      <w:r>
        <w:t>天，由甲方业务部门进行实际使用。</w:t>
      </w:r>
    </w:p>
    <w:p w14:paraId="0B8D44E3" w14:textId="77777777" w:rsidR="00D25711" w:rsidRDefault="00000000">
      <w:pPr>
        <w:pStyle w:val="ad"/>
        <w:widowControl w:val="0"/>
        <w:ind w:firstLine="480"/>
      </w:pPr>
      <w:r>
        <w:t>监控与支持：</w:t>
      </w:r>
      <w:r>
        <w:t xml:space="preserve"> </w:t>
      </w:r>
      <w:r>
        <w:t>乙方提供</w:t>
      </w:r>
      <w:r>
        <w:t>7x24</w:t>
      </w:r>
      <w:r>
        <w:t>小时技术支持团队，实时监控系统状态，处理试运行期间发现的任何问题。</w:t>
      </w:r>
    </w:p>
    <w:p w14:paraId="45987E13" w14:textId="77777777" w:rsidR="00D25711" w:rsidRDefault="00000000">
      <w:pPr>
        <w:pStyle w:val="ad"/>
        <w:widowControl w:val="0"/>
        <w:ind w:firstLine="480"/>
      </w:pPr>
      <w:r>
        <w:t>数据质量考核：</w:t>
      </w:r>
      <w:r>
        <w:t xml:space="preserve"> </w:t>
      </w:r>
      <w:r>
        <w:t>正式启动《数据清洗策略方案》中定义的各项数据质量</w:t>
      </w:r>
      <w:r>
        <w:t>KPI</w:t>
      </w:r>
      <w:r>
        <w:t>（如</w:t>
      </w:r>
      <w:r>
        <w:t>AI</w:t>
      </w:r>
      <w:r>
        <w:t>识别准确率、数据采集率）的持续测量与记录。</w:t>
      </w:r>
    </w:p>
    <w:p w14:paraId="06296EEE" w14:textId="4C332606" w:rsidR="00D25711" w:rsidRDefault="00000000">
      <w:pPr>
        <w:pStyle w:val="ad"/>
        <w:widowControl w:val="0"/>
        <w:ind w:firstLine="480"/>
      </w:pPr>
      <w:r>
        <w:t>2.</w:t>
      </w:r>
      <w:r>
        <w:t>最终验收准备（</w:t>
      </w:r>
      <w:r w:rsidR="008D48F7">
        <w:rPr>
          <w:rFonts w:hint="eastAsia"/>
        </w:rPr>
        <w:t>11</w:t>
      </w:r>
      <w:r>
        <w:t>月</w:t>
      </w:r>
      <w:r>
        <w:t>26</w:t>
      </w:r>
      <w:r>
        <w:t>日</w:t>
      </w:r>
      <w:r>
        <w:t>-</w:t>
      </w:r>
      <w:r w:rsidR="008D48F7">
        <w:rPr>
          <w:rFonts w:hint="eastAsia"/>
        </w:rPr>
        <w:t>11</w:t>
      </w:r>
      <w:r>
        <w:t>月</w:t>
      </w:r>
      <w:r>
        <w:t>30</w:t>
      </w:r>
      <w:r>
        <w:t>日）</w:t>
      </w:r>
    </w:p>
    <w:p w14:paraId="7E9153A2" w14:textId="77777777" w:rsidR="00D25711" w:rsidRDefault="00000000">
      <w:pPr>
        <w:pStyle w:val="ad"/>
        <w:widowControl w:val="0"/>
        <w:ind w:firstLine="480"/>
      </w:pPr>
      <w:r>
        <w:t>竣工文档汇编：整理并提交全套项目竣工文档，包括最终版设计文档、操</w:t>
      </w:r>
      <w:r>
        <w:lastRenderedPageBreak/>
        <w:t>作手册、维护手册及所有测试报告。</w:t>
      </w:r>
    </w:p>
    <w:p w14:paraId="28427061" w14:textId="77777777" w:rsidR="00D25711" w:rsidRDefault="00000000">
      <w:pPr>
        <w:pStyle w:val="ad"/>
        <w:widowControl w:val="0"/>
        <w:ind w:firstLine="480"/>
      </w:pPr>
      <w:r>
        <w:t>验收测试准备：与甲方共同制定详细的《最终验收测试大纲》，明确验收流程、方法与通过标准。</w:t>
      </w:r>
    </w:p>
    <w:p w14:paraId="17DDFCE7" w14:textId="77777777" w:rsidR="00D25711" w:rsidRDefault="00000000">
      <w:pPr>
        <w:pStyle w:val="ad"/>
        <w:widowControl w:val="0"/>
        <w:ind w:firstLine="480"/>
      </w:pPr>
      <w:r>
        <w:t>内部预验收：</w:t>
      </w:r>
      <w:r>
        <w:t xml:space="preserve"> </w:t>
      </w:r>
      <w:r>
        <w:t>乙方组织内部预验收，确保所有合同要求均已满足。</w:t>
      </w:r>
    </w:p>
    <w:p w14:paraId="3A3BDE38" w14:textId="77777777" w:rsidR="00D25711" w:rsidRDefault="00000000">
      <w:pPr>
        <w:pStyle w:val="10"/>
        <w:rPr>
          <w:lang w:eastAsia="zh-CN"/>
        </w:rPr>
      </w:pPr>
      <w:bookmarkStart w:id="14" w:name="_Toc5976"/>
      <w:r>
        <w:rPr>
          <w:lang w:eastAsia="zh-CN"/>
        </w:rPr>
        <w:t>当前主要风险评估与建议</w:t>
      </w:r>
      <w:bookmarkEnd w:id="14"/>
    </w:p>
    <w:p w14:paraId="25C8DBF1" w14:textId="77777777" w:rsidR="00D25711" w:rsidRDefault="00000000">
      <w:pPr>
        <w:pStyle w:val="ad"/>
        <w:widowControl w:val="0"/>
        <w:ind w:firstLine="480"/>
      </w:pPr>
      <w:r>
        <w:t xml:space="preserve">1. </w:t>
      </w:r>
      <w:r>
        <w:t>剩余缺陷修复风险：联调阶段遗留的中低级缺陷可能在试运行期间暴露为高级别问题。</w:t>
      </w:r>
    </w:p>
    <w:p w14:paraId="25AA7EF9" w14:textId="77777777" w:rsidR="00D25711" w:rsidRDefault="00000000">
      <w:pPr>
        <w:pStyle w:val="ad"/>
        <w:widowControl w:val="0"/>
        <w:ind w:firstLine="480"/>
      </w:pPr>
      <w:r>
        <w:t>建议：</w:t>
      </w:r>
      <w:r>
        <w:t xml:space="preserve"> </w:t>
      </w:r>
      <w:r>
        <w:t>在试运行首周，集中资源完成所有遗留缺陷的修复清零。</w:t>
      </w:r>
    </w:p>
    <w:p w14:paraId="18D5E8CE" w14:textId="77777777" w:rsidR="00D25711" w:rsidRDefault="00000000">
      <w:pPr>
        <w:pStyle w:val="ad"/>
        <w:widowControl w:val="0"/>
        <w:ind w:firstLine="480"/>
      </w:pPr>
      <w:r>
        <w:t xml:space="preserve">2. </w:t>
      </w:r>
      <w:r>
        <w:t>甲方业务侧使用深度风险：试运行期间若甲方业务部门使用不充分，可能掩盖潜在问题。</w:t>
      </w:r>
    </w:p>
    <w:p w14:paraId="6150F236" w14:textId="77777777" w:rsidR="00D25711" w:rsidRDefault="00000000">
      <w:pPr>
        <w:pStyle w:val="ad"/>
        <w:widowControl w:val="0"/>
        <w:ind w:firstLine="480"/>
      </w:pPr>
      <w:r>
        <w:t>建议：联合甲方制定《试运行操作任务表》，引导业务方进行全覆盖、深度的系统使用。</w:t>
      </w:r>
    </w:p>
    <w:p w14:paraId="7968F77A" w14:textId="77777777" w:rsidR="00D25711" w:rsidRDefault="00000000">
      <w:pPr>
        <w:pStyle w:val="ad"/>
        <w:widowControl w:val="0"/>
        <w:ind w:firstLine="480"/>
      </w:pPr>
      <w:r>
        <w:t xml:space="preserve">3. </w:t>
      </w:r>
      <w:r>
        <w:t>数据质量</w:t>
      </w:r>
      <w:r>
        <w:t>KPI</w:t>
      </w:r>
      <w:r>
        <w:t>达标风险：真实生产环境下的数据质量指标可能初期波动，达不到验收阈值。</w:t>
      </w:r>
    </w:p>
    <w:p w14:paraId="4AEAF8CF" w14:textId="77777777" w:rsidR="00D25711" w:rsidRDefault="00000000">
      <w:pPr>
        <w:pStyle w:val="ad"/>
        <w:widowControl w:val="0"/>
        <w:ind w:firstLine="480"/>
      </w:pPr>
      <w:r>
        <w:t>建议：</w:t>
      </w:r>
      <w:r>
        <w:t xml:space="preserve"> </w:t>
      </w:r>
      <w:r>
        <w:t>建立数据质量日盯盘机制，一旦指标偏离，立即启动数据分析与规则调优。</w:t>
      </w:r>
    </w:p>
    <w:p w14:paraId="3357EFD9" w14:textId="77777777" w:rsidR="00D25711" w:rsidRDefault="00000000">
      <w:pPr>
        <w:pStyle w:val="10"/>
        <w:rPr>
          <w:lang w:eastAsia="zh-CN"/>
        </w:rPr>
      </w:pPr>
      <w:bookmarkStart w:id="15" w:name="_Toc14357"/>
      <w:r>
        <w:rPr>
          <w:lang w:eastAsia="zh-CN"/>
        </w:rPr>
        <w:t>结论与提请决策事项</w:t>
      </w:r>
      <w:bookmarkEnd w:id="15"/>
    </w:p>
    <w:p w14:paraId="4F9918B8" w14:textId="77777777" w:rsidR="00D25711" w:rsidRDefault="00000000">
      <w:pPr>
        <w:pStyle w:val="ad"/>
        <w:widowControl w:val="0"/>
        <w:ind w:firstLine="480"/>
      </w:pPr>
      <w:r>
        <w:t>综上所述，本项目主体建设工作已按计划圆满完成，系统已具备投入试运行的条件。当前项目整体健康度良好，风险可控。</w:t>
      </w:r>
    </w:p>
    <w:sectPr w:rsidR="00D25711">
      <w:headerReference w:type="default" r:id="rId7"/>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21A2B" w14:textId="77777777" w:rsidR="004B0ED9" w:rsidRDefault="004B0ED9">
      <w:pPr>
        <w:spacing w:line="240" w:lineRule="auto"/>
      </w:pPr>
      <w:r>
        <w:separator/>
      </w:r>
    </w:p>
  </w:endnote>
  <w:endnote w:type="continuationSeparator" w:id="0">
    <w:p w14:paraId="2F56EB3D" w14:textId="77777777" w:rsidR="004B0ED9" w:rsidRDefault="004B0E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523F" w14:textId="77777777" w:rsidR="004B0ED9" w:rsidRDefault="004B0ED9">
      <w:pPr>
        <w:spacing w:line="240" w:lineRule="auto"/>
      </w:pPr>
      <w:r>
        <w:separator/>
      </w:r>
    </w:p>
  </w:footnote>
  <w:footnote w:type="continuationSeparator" w:id="0">
    <w:p w14:paraId="3210DC6A" w14:textId="77777777" w:rsidR="004B0ED9" w:rsidRDefault="004B0E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FE90" w14:textId="77777777" w:rsidR="00D25711"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76847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711"/>
    <w:rsid w:val="004B0ED9"/>
    <w:rsid w:val="006244B8"/>
    <w:rsid w:val="008D48F7"/>
    <w:rsid w:val="009276F1"/>
    <w:rsid w:val="00B6692C"/>
    <w:rsid w:val="00D25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4D081"/>
  <w15:docId w15:val="{CC6D3E37-A49F-4331-B5FF-CA5FC536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HTML">
    <w:name w:val="HTML Code"/>
    <w:basedOn w:val="a0"/>
    <w:qFormat/>
    <w:rPr>
      <w:rFonts w:ascii="Courier New" w:hAnsi="Courier New"/>
      <w:sz w:val="20"/>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link w:val="Char"/>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40">
    <w:name w:val="柴_标题4"/>
    <w:basedOn w:val="4"/>
    <w:next w:val="a"/>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1817</Words>
  <Characters>1928</Characters>
  <Application>Microsoft Office Word</Application>
  <DocSecurity>0</DocSecurity>
  <Lines>128</Lines>
  <Paragraphs>117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3</cp:revision>
  <dcterms:created xsi:type="dcterms:W3CDTF">2025-09-03T14:43:00Z</dcterms:created>
  <dcterms:modified xsi:type="dcterms:W3CDTF">2026-02-25T12:14:00Z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