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right="120" w:firstLine="7140" w:firstLineChars="3400"/>
        <w:rPr>
          <w:color w:val="000000"/>
          <w:szCs w:val="21"/>
        </w:rPr>
      </w:pPr>
      <w:r>
        <w:rPr>
          <w:rFonts w:hint="eastAsia"/>
          <w:color w:val="000000"/>
          <w:szCs w:val="21"/>
        </w:rPr>
        <w:t>表格编号：PG-07</w:t>
      </w:r>
    </w:p>
    <w:p>
      <w:pPr>
        <w:jc w:val="center"/>
        <w:rPr>
          <w:color w:val="000000"/>
          <w:szCs w:val="21"/>
        </w:rPr>
      </w:pPr>
      <w:r>
        <w:rPr>
          <w:rFonts w:hint="eastAsia"/>
          <w:color w:val="000000"/>
          <w:szCs w:val="21"/>
        </w:rPr>
        <w:t xml:space="preserve">                                                              版    本：V2.0</w:t>
      </w:r>
    </w:p>
    <w:p>
      <w:pPr>
        <w:widowControl/>
        <w:tabs>
          <w:tab w:val="left" w:pos="2410"/>
        </w:tabs>
        <w:autoSpaceDE w:val="0"/>
        <w:autoSpaceDN w:val="0"/>
        <w:spacing w:line="240" w:lineRule="atLeast"/>
        <w:jc w:val="center"/>
        <w:textAlignment w:val="bottom"/>
        <w:rPr>
          <w:rFonts w:eastAsia="创艺简黑体"/>
          <w:b/>
          <w:sz w:val="44"/>
          <w:szCs w:val="44"/>
        </w:rPr>
      </w:pPr>
      <w:r>
        <w:rPr>
          <w:rFonts w:ascii="楷体_GB2312" w:eastAsia="楷体_GB2312"/>
          <w:spacing w:val="20"/>
          <w:sz w:val="48"/>
        </w:rPr>
        <w:drawing>
          <wp:inline distT="0" distB="0" distL="0" distR="0">
            <wp:extent cx="1447800" cy="542925"/>
            <wp:effectExtent l="19050" t="0" r="0" b="0"/>
            <wp:docPr id="1" name="图片 1" descr="说明: 20120327 ITS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20120327 ITSS_LOGO"/>
                    <pic:cNvPicPr>
                      <a:picLocks noChangeAspect="1" noChangeArrowheads="1"/>
                    </pic:cNvPicPr>
                  </pic:nvPicPr>
                  <pic:blipFill>
                    <a:blip xmlns:r="http://schemas.openxmlformats.org/officeDocument/2006/relationships" r:embed="rId4" cstate="print"/>
                    <a:srcRect/>
                    <a:stretch>
                      <a:fillRect/>
                    </a:stretch>
                  </pic:blipFill>
                  <pic:spPr>
                    <a:xfrm>
                      <a:off x="0" y="0"/>
                      <a:ext cx="1447800" cy="542925"/>
                    </a:xfrm>
                    <a:prstGeom prst="rect">
                      <a:avLst/>
                    </a:prstGeom>
                    <a:noFill/>
                    <a:ln w="9525">
                      <a:noFill/>
                      <a:miter lim="800000"/>
                      <a:headEnd/>
                      <a:tailEnd/>
                    </a:ln>
                  </pic:spPr>
                </pic:pic>
              </a:graphicData>
            </a:graphic>
          </wp:inline>
        </w:drawing>
      </w:r>
    </w:p>
    <w:p>
      <w:pPr>
        <w:widowControl/>
        <w:tabs>
          <w:tab w:val="left" w:pos="2410"/>
        </w:tabs>
        <w:autoSpaceDE w:val="0"/>
        <w:autoSpaceDN w:val="0"/>
        <w:spacing w:line="240" w:lineRule="atLeast"/>
        <w:jc w:val="center"/>
        <w:textAlignment w:val="bottom"/>
        <w:rPr>
          <w:rFonts w:eastAsia="创艺简黑体"/>
          <w:b/>
          <w:sz w:val="44"/>
          <w:szCs w:val="44"/>
        </w:rPr>
      </w:pPr>
    </w:p>
    <w:p>
      <w:pPr>
        <w:widowControl/>
        <w:tabs>
          <w:tab w:val="left" w:pos="2410"/>
        </w:tabs>
        <w:autoSpaceDE w:val="0"/>
        <w:autoSpaceDN w:val="0"/>
        <w:spacing w:line="240" w:lineRule="atLeast"/>
        <w:jc w:val="center"/>
        <w:textAlignment w:val="bottom"/>
        <w:rPr>
          <w:rFonts w:eastAsia="创艺简黑体"/>
          <w:b/>
          <w:sz w:val="44"/>
          <w:szCs w:val="44"/>
        </w:rPr>
      </w:pPr>
    </w:p>
    <w:p>
      <w:pPr>
        <w:widowControl/>
        <w:tabs>
          <w:tab w:val="left" w:pos="2410"/>
        </w:tabs>
        <w:autoSpaceDE w:val="0"/>
        <w:autoSpaceDN w:val="0"/>
        <w:spacing w:line="240" w:lineRule="atLeast"/>
        <w:jc w:val="center"/>
        <w:textAlignment w:val="bottom"/>
        <w:rPr>
          <w:rFonts w:ascii="华文中宋" w:eastAsia="华文中宋" w:hAnsi="华文中宋"/>
          <w:b/>
          <w:color w:val="000000"/>
          <w:sz w:val="40"/>
          <w:szCs w:val="21"/>
        </w:rPr>
      </w:pPr>
      <w:r>
        <w:rPr>
          <w:rFonts w:ascii="华文中宋" w:eastAsia="华文中宋" w:hAnsi="华文中宋" w:hint="eastAsia"/>
          <w:b/>
          <w:color w:val="000000"/>
          <w:sz w:val="38"/>
          <w:szCs w:val="38"/>
        </w:rPr>
        <w:t>信息技术服务标准（ITSS）符合性评估</w:t>
      </w:r>
    </w:p>
    <w:p>
      <w:pPr>
        <w:widowControl/>
        <w:tabs>
          <w:tab w:val="left" w:pos="2410"/>
        </w:tabs>
        <w:autoSpaceDE w:val="0"/>
        <w:autoSpaceDN w:val="0"/>
        <w:spacing w:line="240" w:lineRule="atLeast"/>
        <w:jc w:val="center"/>
        <w:textAlignment w:val="bottom"/>
        <w:rPr>
          <w:rFonts w:ascii="华文中宋" w:eastAsia="华文中宋" w:hAnsi="华文中宋"/>
          <w:b/>
          <w:color w:val="000000"/>
          <w:sz w:val="40"/>
          <w:szCs w:val="21"/>
        </w:rPr>
      </w:pPr>
      <w:r>
        <w:rPr>
          <w:rFonts w:ascii="华文中宋" w:eastAsia="华文中宋" w:hAnsi="华文中宋" w:hint="eastAsia"/>
          <w:b/>
          <w:color w:val="000000"/>
          <w:sz w:val="40"/>
          <w:szCs w:val="21"/>
        </w:rPr>
        <w:t>不符合项报告</w:t>
      </w:r>
    </w:p>
    <w:p>
      <w:pPr>
        <w:widowControl/>
        <w:tabs>
          <w:tab w:val="left" w:pos="2410"/>
        </w:tabs>
        <w:autoSpaceDE w:val="0"/>
        <w:autoSpaceDN w:val="0"/>
        <w:spacing w:line="240" w:lineRule="atLeast"/>
        <w:jc w:val="center"/>
        <w:textAlignment w:val="bottom"/>
        <w:rPr>
          <w:rFonts w:ascii="华文中宋" w:eastAsia="华文中宋" w:hAnsi="华文中宋"/>
          <w:b/>
          <w:color w:val="000000"/>
          <w:sz w:val="40"/>
          <w:szCs w:val="21"/>
        </w:rPr>
      </w:pPr>
      <w:r>
        <w:rPr>
          <w:rFonts w:ascii="华文中宋" w:eastAsia="华文中宋" w:hAnsi="华文中宋" w:hint="eastAsia"/>
          <w:b/>
          <w:color w:val="000000"/>
          <w:sz w:val="40"/>
          <w:szCs w:val="21"/>
        </w:rPr>
        <w:t>（运行维护能力成熟度）</w:t>
      </w:r>
    </w:p>
    <w:p>
      <w:pPr>
        <w:widowControl/>
        <w:tabs>
          <w:tab w:val="left" w:pos="2410"/>
        </w:tabs>
        <w:autoSpaceDE w:val="0"/>
        <w:autoSpaceDN w:val="0"/>
        <w:spacing w:line="240" w:lineRule="atLeast"/>
        <w:jc w:val="center"/>
        <w:textAlignment w:val="bottom"/>
        <w:rPr>
          <w:rFonts w:eastAsia="创艺简黑体"/>
          <w:b/>
          <w:sz w:val="44"/>
          <w:szCs w:val="44"/>
        </w:rPr>
      </w:pPr>
    </w:p>
    <w:p>
      <w:pPr>
        <w:widowControl/>
        <w:tabs>
          <w:tab w:val="left" w:pos="2410"/>
        </w:tabs>
        <w:autoSpaceDE w:val="0"/>
        <w:autoSpaceDN w:val="0"/>
        <w:spacing w:line="240" w:lineRule="atLeast"/>
        <w:jc w:val="center"/>
        <w:textAlignment w:val="bottom"/>
        <w:rPr>
          <w:rFonts w:eastAsia="创艺简黑体"/>
          <w:b/>
          <w:sz w:val="44"/>
          <w:szCs w:val="44"/>
        </w:rPr>
      </w:pPr>
    </w:p>
    <w:p>
      <w:pPr>
        <w:widowControl/>
        <w:tabs>
          <w:tab w:val="left" w:pos="2410"/>
        </w:tabs>
        <w:autoSpaceDE w:val="0"/>
        <w:autoSpaceDN w:val="0"/>
        <w:spacing w:line="240" w:lineRule="atLeast"/>
        <w:jc w:val="center"/>
        <w:textAlignment w:val="bottom"/>
        <w:rPr>
          <w:rFonts w:eastAsia="创艺简黑体"/>
          <w:b/>
          <w:sz w:val="44"/>
          <w:szCs w:val="44"/>
        </w:rPr>
      </w:pPr>
    </w:p>
    <w:p>
      <w:pPr>
        <w:widowControl/>
        <w:tabs>
          <w:tab w:val="left" w:pos="2410"/>
        </w:tabs>
        <w:autoSpaceDE w:val="0"/>
        <w:autoSpaceDN w:val="0"/>
        <w:spacing w:line="240" w:lineRule="atLeast"/>
        <w:jc w:val="center"/>
        <w:textAlignment w:val="bottom"/>
        <w:rPr>
          <w:rFonts w:eastAsia="创艺简黑体"/>
          <w:b/>
          <w:sz w:val="44"/>
          <w:szCs w:val="44"/>
        </w:rPr>
      </w:pPr>
    </w:p>
    <w:p>
      <w:pPr>
        <w:widowControl/>
        <w:tabs>
          <w:tab w:val="left" w:pos="2410"/>
        </w:tabs>
        <w:autoSpaceDE w:val="0"/>
        <w:autoSpaceDN w:val="0"/>
        <w:spacing w:line="240" w:lineRule="atLeast"/>
        <w:jc w:val="center"/>
        <w:textAlignment w:val="bottom"/>
        <w:rPr>
          <w:rFonts w:eastAsia="创艺简黑体"/>
          <w:b/>
          <w:sz w:val="44"/>
          <w:szCs w:val="44"/>
        </w:rPr>
      </w:pPr>
    </w:p>
    <w:p>
      <w:pPr>
        <w:widowControl/>
        <w:jc w:val="left"/>
        <w:rPr>
          <w:rFonts w:ascii="宋体" w:hAnsi="宋体"/>
          <w:b/>
          <w:bCs/>
          <w:sz w:val="36"/>
        </w:rPr>
      </w:pPr>
    </w:p>
    <w:p>
      <w:pPr>
        <w:spacing w:line="240" w:lineRule="atLeast"/>
        <w:ind w:firstLine="1136" w:firstLineChars="541"/>
        <w:rPr>
          <w:rFonts w:ascii="宋体" w:eastAsia="宋体" w:hint="default"/>
          <w:color w:val="000000"/>
          <w:kern w:val="0"/>
          <w:sz w:val="28"/>
          <w:szCs w:val="28"/>
          <w:u w:val="single"/>
          <w:lang w:val="en-US" w:eastAsia="zh-CN"/>
        </w:rPr>
      </w:pPr>
      <w:bookmarkStart w:id="0" w:name="_Toc280583679"/>
      <w:bookmarkStart w:id="1" w:name="_Toc280584860"/>
      <w:r>
        <w:rPr>
          <w:rFonts w:hint="eastAsia"/>
          <w:b/>
          <w:color w:val="000000"/>
          <w:sz w:val="28"/>
          <w:szCs w:val="28"/>
        </w:rPr>
        <w:t>申　报　企  业</w:t>
      </w:r>
      <w:r>
        <w:rPr>
          <w:rFonts w:ascii="宋体" w:hint="eastAsia"/>
          <w:color w:val="000000"/>
          <w:sz w:val="28"/>
          <w:szCs w:val="28"/>
        </w:rPr>
        <w:t>：</w:t>
      </w:r>
      <w:bookmarkEnd w:id="0"/>
      <w:bookmarkEnd w:id="1"/>
    </w:p>
    <w:p>
      <w:pPr>
        <w:spacing w:line="240" w:lineRule="atLeast"/>
        <w:ind w:firstLine="1136" w:firstLineChars="541"/>
        <w:rPr>
          <w:rFonts w:ascii="宋体"/>
          <w:color w:val="000000"/>
          <w:sz w:val="28"/>
          <w:szCs w:val="28"/>
        </w:rPr>
      </w:pPr>
    </w:p>
    <w:p>
      <w:pPr>
        <w:spacing w:line="240" w:lineRule="atLeast"/>
        <w:ind w:firstLine="1136" w:firstLineChars="541"/>
        <w:rPr>
          <w:rFonts w:ascii="宋体"/>
          <w:color w:val="000000"/>
          <w:sz w:val="28"/>
          <w:szCs w:val="28"/>
        </w:rPr>
      </w:pPr>
      <w:r>
        <w:rPr>
          <w:rFonts w:hint="eastAsia"/>
          <w:b/>
          <w:color w:val="000000"/>
          <w:sz w:val="28"/>
          <w:szCs w:val="28"/>
        </w:rPr>
        <w:t>评  估  机  构</w:t>
      </w:r>
      <w:r>
        <w:rPr>
          <w:rFonts w:ascii="宋体" w:hint="eastAsia"/>
          <w:color w:val="000000"/>
          <w:sz w:val="28"/>
          <w:szCs w:val="28"/>
        </w:rPr>
        <w:t>：</w:t>
      </w:r>
    </w:p>
    <w:p>
      <w:pPr>
        <w:widowControl/>
        <w:jc w:val="left"/>
        <w:rPr>
          <w:rFonts w:ascii="宋体" w:hAnsi="宋体"/>
          <w:b/>
          <w:bCs/>
          <w:sz w:val="36"/>
        </w:rPr>
      </w:pPr>
    </w:p>
    <w:p>
      <w:pPr>
        <w:spacing w:line="240" w:lineRule="atLeast"/>
        <w:ind w:firstLine="1136" w:firstLineChars="541"/>
        <w:rPr>
          <w:rFonts w:ascii="宋体"/>
          <w:color w:val="000000"/>
          <w:sz w:val="28"/>
          <w:szCs w:val="28"/>
        </w:rPr>
      </w:pPr>
      <w:r>
        <w:rPr>
          <w:rFonts w:hint="eastAsia"/>
          <w:b/>
          <w:color w:val="000000"/>
          <w:sz w:val="28"/>
          <w:szCs w:val="28"/>
        </w:rPr>
        <w:t>编  制  日  期</w:t>
      </w:r>
      <w:r>
        <w:rPr>
          <w:rFonts w:ascii="宋体" w:hint="eastAsia"/>
          <w:color w:val="000000"/>
          <w:sz w:val="28"/>
          <w:szCs w:val="28"/>
        </w:rPr>
        <w:t>：</w:t>
      </w:r>
      <w:r>
        <w:rPr>
          <w:rFonts w:ascii="宋体" w:hint="eastAsia"/>
          <w:color w:val="000000"/>
          <w:sz w:val="28"/>
          <w:szCs w:val="28"/>
          <w:u w:val="single"/>
        </w:rPr>
        <w:t>　</w:t>
      </w:r>
    </w:p>
    <w:p>
      <w:pPr>
        <w:widowControl/>
        <w:jc w:val="left"/>
        <w:rPr>
          <w:rFonts w:ascii="宋体" w:hAnsi="宋体"/>
          <w:b/>
          <w:bCs/>
          <w:sz w:val="36"/>
        </w:rPr>
      </w:pPr>
    </w:p>
    <w:p>
      <w:pPr>
        <w:widowControl/>
        <w:jc w:val="left"/>
        <w:rPr>
          <w:rFonts w:ascii="宋体" w:hAnsi="宋体"/>
          <w:b/>
          <w:bCs/>
          <w:sz w:val="36"/>
        </w:rPr>
      </w:pPr>
    </w:p>
    <w:p>
      <w:pPr>
        <w:widowControl/>
        <w:jc w:val="left"/>
        <w:rPr>
          <w:rFonts w:ascii="宋体" w:hAnsi="宋体"/>
          <w:b/>
          <w:bCs/>
          <w:sz w:val="36"/>
        </w:rPr>
      </w:pPr>
    </w:p>
    <w:p>
      <w:pPr>
        <w:widowControl/>
        <w:jc w:val="left"/>
        <w:rPr>
          <w:rFonts w:ascii="宋体" w:hAnsi="宋体"/>
          <w:b/>
          <w:bCs/>
          <w:sz w:val="36"/>
        </w:rPr>
      </w:pPr>
    </w:p>
    <w:p>
      <w:pPr>
        <w:jc w:val="center"/>
        <w:rPr>
          <w:b/>
          <w:color w:val="000000"/>
          <w:kern w:val="0"/>
          <w:sz w:val="28"/>
          <w:szCs w:val="28"/>
        </w:rPr>
      </w:pPr>
      <w:r>
        <w:rPr>
          <w:rFonts w:hint="eastAsia"/>
          <w:b/>
          <w:color w:val="000000"/>
          <w:kern w:val="0"/>
          <w:sz w:val="28"/>
          <w:szCs w:val="28"/>
        </w:rPr>
        <w:t>中啊啊啊啊啊子工业标准化技术协会信息技术服务分会秘书处编制</w:t>
      </w:r>
    </w:p>
    <w:p>
      <w:pPr>
        <w:widowControl/>
        <w:jc w:val="left"/>
        <w:rPr>
          <w:rFonts w:ascii="宋体" w:hAnsi="宋体"/>
          <w:b/>
          <w:bCs/>
          <w:sz w:val="36"/>
        </w:rPr>
      </w:pPr>
      <w:r>
        <w:rPr>
          <w:rFonts w:ascii="宋体" w:hAnsi="宋体"/>
          <w:b/>
          <w:bCs/>
          <w:sz w:val="36"/>
        </w:rPr>
        <w:br w:type="page"/>
      </w:r>
    </w:p>
    <w:p>
      <w:pPr>
        <w:jc w:val="right"/>
        <w:rPr>
          <w:rFonts w:ascii="宋体" w:hAnsi="宋体"/>
        </w:rPr>
      </w:pP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 xml:space="preserve">共 </w:t>
      </w:r>
      <w:r>
        <w:rPr>
          <w:rFonts w:ascii="宋体" w:hAnsi="宋体" w:hint="eastAsia"/>
          <w:lang w:val="en-US" w:eastAsia="zh-CN"/>
        </w:rPr>
        <w:t>1</w:t>
      </w:r>
      <w:r>
        <w:rPr>
          <w:rFonts w:ascii="宋体" w:hAnsi="宋体" w:hint="eastAsia"/>
        </w:rPr>
        <w:t xml:space="preserve"> 项  第 </w:t>
      </w:r>
      <w:r>
        <w:rPr>
          <w:rFonts w:ascii="宋体" w:hAnsi="宋体" w:hint="eastAsia"/>
          <w:lang w:val="en-US" w:eastAsia="zh-CN"/>
        </w:rPr>
        <w:t>1</w:t>
      </w:r>
      <w:r>
        <w:rPr>
          <w:rFonts w:ascii="宋体" w:hAnsi="宋体" w:hint="eastAsia"/>
        </w:rPr>
        <w:t>项</w:t>
      </w:r>
    </w:p>
    <w:tbl>
      <w:tblPr>
        <w:tblStyle w:val="TableNormal"/>
        <w:tblW w:w="1008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0" w:type="dxa"/>
          <w:left w:w="108" w:type="dxa"/>
          <w:bottom w:w="0" w:type="dxa"/>
          <w:right w:w="108" w:type="dxa"/>
        </w:tblCellMar>
      </w:tblPr>
      <w:tblGrid>
        <w:gridCol w:w="648"/>
        <w:gridCol w:w="426"/>
        <w:gridCol w:w="1734"/>
        <w:gridCol w:w="747"/>
        <w:gridCol w:w="1233"/>
        <w:gridCol w:w="900"/>
        <w:gridCol w:w="360"/>
        <w:gridCol w:w="180"/>
        <w:gridCol w:w="977"/>
        <w:gridCol w:w="1005"/>
        <w:gridCol w:w="1873"/>
      </w:tblGrid>
      <w:tr>
        <w:tblPrEx>
          <w:tblW w:w="1008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0" w:type="dxa"/>
            <w:left w:w="108" w:type="dxa"/>
            <w:bottom w:w="0" w:type="dxa"/>
            <w:right w:w="108" w:type="dxa"/>
          </w:tblCellMar>
        </w:tblPrEx>
        <w:trPr>
          <w:cantSplit/>
          <w:jc w:val="center"/>
        </w:trPr>
        <w:tc>
          <w:tcPr>
            <w:tcW w:w="5688" w:type="dxa"/>
            <w:gridSpan w:val="6"/>
            <w:vMerge w:val="restart"/>
          </w:tcPr>
          <w:p>
            <w:pPr>
              <w:spacing w:before="60" w:after="60"/>
              <w:rPr>
                <w:rFonts w:ascii="宋体" w:eastAsia="宋体" w:hAnsi="宋体" w:hint="default"/>
                <w:b/>
                <w:sz w:val="24"/>
                <w:szCs w:val="24"/>
                <w:lang w:val="en-US" w:eastAsia="zh-CN"/>
              </w:rPr>
            </w:pPr>
            <w:r>
              <w:rPr>
                <w:rFonts w:ascii="宋体" w:hAnsi="宋体" w:hint="eastAsia"/>
                <w:b/>
              </w:rPr>
              <w:t>被评估方名称</w:t>
            </w:r>
            <w:r>
              <w:rPr>
                <w:rFonts w:ascii="宋体" w:hAnsi="宋体" w:hint="eastAsia"/>
                <w:b/>
                <w:lang w:eastAsia="zh-CN"/>
              </w:rPr>
              <w:t>：</w:t>
            </w:r>
          </w:p>
        </w:tc>
        <w:tc>
          <w:tcPr>
            <w:tcW w:w="1517" w:type="dxa"/>
            <w:gridSpan w:val="3"/>
          </w:tcPr>
          <w:p>
            <w:pPr>
              <w:spacing w:before="60" w:after="60"/>
              <w:jc w:val="center"/>
              <w:rPr>
                <w:rFonts w:ascii="宋体" w:hAnsi="宋体"/>
                <w:b/>
              </w:rPr>
            </w:pPr>
            <w:r>
              <w:rPr>
                <w:rFonts w:ascii="宋体" w:hAnsi="宋体" w:hint="eastAsia"/>
                <w:b/>
              </w:rPr>
              <w:t>发现问题日期</w:t>
            </w:r>
          </w:p>
        </w:tc>
        <w:tc>
          <w:tcPr>
            <w:tcW w:w="2878" w:type="dxa"/>
            <w:gridSpan w:val="2"/>
          </w:tcPr>
          <w:p>
            <w:pPr>
              <w:spacing w:before="60" w:after="60"/>
              <w:rPr>
                <w:rFonts w:ascii="宋体" w:eastAsia="宋体" w:hAnsi="宋体" w:hint="eastAsia"/>
                <w:lang w:eastAsia="zh-CN"/>
              </w:rPr>
            </w:pPr>
            <w:r>
              <w:rPr>
                <w:rFonts w:ascii="宋体" w:hAnsi="宋体" w:hint="eastAsia"/>
              </w:rPr>
              <w:t xml:space="preserve"> </w:t>
            </w:r>
          </w:p>
        </w:tc>
      </w:tr>
      <w:tr>
        <w:tblPrEx>
          <w:tblW w:w="10083" w:type="dxa"/>
          <w:jc w:val="center"/>
          <w:tblLayout w:type="fixed"/>
          <w:tblCellMar>
            <w:top w:w="0" w:type="dxa"/>
            <w:left w:w="108" w:type="dxa"/>
            <w:bottom w:w="0" w:type="dxa"/>
            <w:right w:w="108" w:type="dxa"/>
          </w:tblCellMar>
        </w:tblPrEx>
        <w:trPr>
          <w:cantSplit/>
          <w:jc w:val="center"/>
        </w:trPr>
        <w:tc>
          <w:tcPr>
            <w:tcW w:w="5688" w:type="dxa"/>
            <w:gridSpan w:val="6"/>
            <w:vMerge/>
          </w:tcPr>
          <w:p>
            <w:pPr>
              <w:spacing w:before="60" w:after="60"/>
              <w:rPr>
                <w:rFonts w:ascii="宋体" w:hAnsi="宋体"/>
              </w:rPr>
            </w:pPr>
          </w:p>
        </w:tc>
        <w:tc>
          <w:tcPr>
            <w:tcW w:w="1517" w:type="dxa"/>
            <w:gridSpan w:val="3"/>
          </w:tcPr>
          <w:p>
            <w:pPr>
              <w:spacing w:before="60" w:after="60"/>
              <w:jc w:val="center"/>
              <w:rPr>
                <w:color w:val="000000"/>
                <w:kern w:val="0"/>
                <w:sz w:val="18"/>
                <w:szCs w:val="18"/>
              </w:rPr>
            </w:pPr>
            <w:r>
              <w:rPr>
                <w:rFonts w:ascii="宋体" w:hAnsi="宋体" w:hint="eastAsia"/>
                <w:b/>
              </w:rPr>
              <w:t>不符合项对应的标准条款</w:t>
            </w:r>
          </w:p>
        </w:tc>
        <w:tc>
          <w:tcPr>
            <w:tcW w:w="2878" w:type="dxa"/>
            <w:gridSpan w:val="2"/>
          </w:tcPr>
          <w:p>
            <w:pPr>
              <w:widowControl/>
              <w:rPr>
                <w:rFonts w:asciiTheme="minorEastAsia" w:eastAsiaTheme="minorEastAsia" w:hAnsiTheme="minorEastAsia" w:cs="宋体"/>
                <w:kern w:val="0"/>
                <w:sz w:val="18"/>
                <w:szCs w:val="18"/>
                <w:u w:color="000000"/>
                <w:lang w:val="zh-TW"/>
              </w:rPr>
            </w:pPr>
          </w:p>
        </w:tc>
      </w:tr>
      <w:tr>
        <w:tblPrEx>
          <w:tblW w:w="10083" w:type="dxa"/>
          <w:jc w:val="center"/>
          <w:tblLayout w:type="fixed"/>
          <w:tblCellMar>
            <w:top w:w="0" w:type="dxa"/>
            <w:left w:w="108" w:type="dxa"/>
            <w:bottom w:w="0" w:type="dxa"/>
            <w:right w:w="108" w:type="dxa"/>
          </w:tblCellMar>
        </w:tblPrEx>
        <w:trPr>
          <w:cantSplit/>
          <w:trHeight w:val="972"/>
          <w:jc w:val="center"/>
        </w:trPr>
        <w:tc>
          <w:tcPr>
            <w:tcW w:w="10083" w:type="dxa"/>
            <w:gridSpan w:val="11"/>
            <w:tcBorders>
              <w:bottom w:val="nil"/>
            </w:tcBorders>
            <w:shd w:val="clear" w:color="auto" w:fill="auto"/>
            <w:vAlign w:val="center"/>
          </w:tcPr>
          <w:p>
            <w:pPr>
              <w:keepNext w:val="0"/>
              <w:keepLines w:val="0"/>
              <w:widowControl/>
              <w:suppressLineNumbers w:val="0"/>
              <w:jc w:val="left"/>
              <w:textAlignment w:val="center"/>
              <w:rPr>
                <w:rFonts w:ascii="Arial" w:eastAsia="宋体" w:hAnsi="Arial" w:cs="Arial" w:hint="eastAsia"/>
                <w:i w:val="0"/>
                <w:iCs w:val="0"/>
                <w:color w:val="343A40"/>
                <w:kern w:val="2"/>
                <w:sz w:val="21"/>
                <w:szCs w:val="21"/>
                <w:u w:val="none"/>
                <w:lang w:val="en-US" w:eastAsia="zh-CN" w:bidi="ar-SA"/>
              </w:rPr>
            </w:pPr>
            <w:r>
              <w:rPr>
                <w:rFonts w:ascii="Arial" w:eastAsia="宋体" w:hAnsi="Arial" w:cs="Arial" w:hint="eastAsia"/>
                <w:i w:val="0"/>
                <w:iCs w:val="0"/>
                <w:caps w:val="0"/>
                <w:color w:val="343A40"/>
                <w:spacing w:val="0"/>
                <w:sz w:val="21"/>
                <w:szCs w:val="21"/>
                <w:shd w:val="clear" w:color="auto" w:fill="F5F5F5"/>
              </w:rPr>
              <w:t>查看《运维服务能力指标体系》，其中对于招聘目标值的设定，对比2026年《运维服务能力管理计划》中对于招聘的内容描述不相适宜，不符合“7.1.1能力策划 a) 确定运维服务能力管理目标，设计与目标相适应的能力指标体系，包括指标项、度量方法、数据来源及评价方法等；”的条款要求，属一般不符合。</w:t>
            </w:r>
          </w:p>
        </w:tc>
      </w:tr>
      <w:tr>
        <w:tblPrEx>
          <w:tblW w:w="10083" w:type="dxa"/>
          <w:jc w:val="center"/>
          <w:tblLayout w:type="fixed"/>
          <w:tblCellMar>
            <w:top w:w="0" w:type="dxa"/>
            <w:left w:w="108" w:type="dxa"/>
            <w:bottom w:w="0" w:type="dxa"/>
            <w:right w:w="108" w:type="dxa"/>
          </w:tblCellMar>
        </w:tblPrEx>
        <w:trPr>
          <w:cantSplit/>
          <w:jc w:val="center"/>
        </w:trPr>
        <w:tc>
          <w:tcPr>
            <w:tcW w:w="3555" w:type="dxa"/>
            <w:gridSpan w:val="4"/>
            <w:tcBorders>
              <w:top w:val="nil"/>
              <w:bottom w:val="single" w:sz="6" w:space="0" w:color="auto"/>
              <w:right w:val="nil"/>
            </w:tcBorders>
          </w:tcPr>
          <w:p>
            <w:pPr>
              <w:spacing w:before="120" w:after="120"/>
              <w:rPr>
                <w:rFonts w:ascii="宋体" w:hAnsi="宋体"/>
                <w:spacing w:val="-12"/>
                <w:sz w:val="18"/>
              </w:rPr>
            </w:pPr>
            <w:r>
              <w:rPr>
                <w:rFonts w:ascii="宋体" w:hAnsi="宋体" w:hint="eastAsia"/>
                <w:spacing w:val="-12"/>
                <w:sz w:val="18"/>
              </w:rPr>
              <w:t>评估师：</w:t>
            </w:r>
          </w:p>
        </w:tc>
        <w:tc>
          <w:tcPr>
            <w:tcW w:w="2493" w:type="dxa"/>
            <w:gridSpan w:val="3"/>
            <w:tcBorders>
              <w:top w:val="nil"/>
              <w:left w:val="nil"/>
              <w:bottom w:val="single" w:sz="6" w:space="0" w:color="auto"/>
              <w:right w:val="nil"/>
            </w:tcBorders>
          </w:tcPr>
          <w:p>
            <w:pPr>
              <w:spacing w:before="120" w:after="120"/>
              <w:jc w:val="left"/>
              <w:rPr>
                <w:rFonts w:ascii="宋体" w:eastAsia="Arial Unicode MS" w:hAnsi="宋体" w:cs="Arial Unicode MS"/>
                <w:color w:val="000000"/>
                <w:szCs w:val="21"/>
                <w:u w:color="000000"/>
              </w:rPr>
            </w:pPr>
          </w:p>
        </w:tc>
        <w:tc>
          <w:tcPr>
            <w:tcW w:w="4035" w:type="dxa"/>
            <w:gridSpan w:val="4"/>
            <w:tcBorders>
              <w:top w:val="nil"/>
              <w:left w:val="nil"/>
              <w:bottom w:val="single" w:sz="6" w:space="0" w:color="auto"/>
            </w:tcBorders>
          </w:tcPr>
          <w:p>
            <w:pPr>
              <w:spacing w:before="120" w:after="120"/>
              <w:ind w:left="52"/>
              <w:rPr>
                <w:rFonts w:ascii="宋体" w:hAnsi="宋体"/>
                <w:sz w:val="18"/>
              </w:rPr>
            </w:pPr>
            <w:r>
              <w:rPr>
                <w:rFonts w:ascii="宋体" w:hAnsi="宋体" w:hint="eastAsia"/>
                <w:spacing w:val="-12"/>
                <w:sz w:val="18"/>
              </w:rPr>
              <w:t>被评估方管理者(代表)确认：</w:t>
            </w:r>
          </w:p>
        </w:tc>
      </w:tr>
      <w:tr>
        <w:tblPrEx>
          <w:tblW w:w="10083" w:type="dxa"/>
          <w:jc w:val="center"/>
          <w:tblLayout w:type="fixed"/>
          <w:tblCellMar>
            <w:top w:w="0" w:type="dxa"/>
            <w:left w:w="108" w:type="dxa"/>
            <w:bottom w:w="0" w:type="dxa"/>
            <w:right w:w="108" w:type="dxa"/>
          </w:tblCellMar>
        </w:tblPrEx>
        <w:trPr>
          <w:cantSplit/>
          <w:trHeight w:val="308"/>
          <w:jc w:val="center"/>
        </w:trPr>
        <w:tc>
          <w:tcPr>
            <w:tcW w:w="1074" w:type="dxa"/>
            <w:gridSpan w:val="2"/>
            <w:tcBorders>
              <w:top w:val="nil"/>
            </w:tcBorders>
            <w:vAlign w:val="center"/>
          </w:tcPr>
          <w:p>
            <w:pPr>
              <w:spacing w:before="60" w:after="60"/>
              <w:rPr>
                <w:rFonts w:ascii="宋体" w:hAnsi="宋体"/>
                <w:b/>
              </w:rPr>
            </w:pPr>
            <w:r>
              <w:rPr>
                <w:rFonts w:ascii="宋体" w:hAnsi="宋体" w:hint="eastAsia"/>
                <w:b/>
              </w:rPr>
              <w:t>不 符 合</w:t>
            </w:r>
          </w:p>
        </w:tc>
        <w:tc>
          <w:tcPr>
            <w:tcW w:w="9009" w:type="dxa"/>
            <w:gridSpan w:val="9"/>
            <w:tcBorders>
              <w:top w:val="nil"/>
            </w:tcBorders>
          </w:tcPr>
          <w:p>
            <w:pPr>
              <w:widowControl/>
              <w:spacing w:line="240" w:lineRule="exact"/>
              <w:ind w:left="270" w:hanging="315" w:hangingChars="150"/>
              <w:jc w:val="left"/>
              <w:rPr>
                <w:rFonts w:ascii="宋体" w:eastAsia="宋体" w:hAnsi="宋体" w:cs="宋体" w:hint="eastAsia"/>
                <w:color w:val="auto"/>
                <w:sz w:val="18"/>
                <w:szCs w:val="18"/>
                <w:lang w:eastAsia="zh-CN"/>
              </w:rPr>
            </w:pPr>
            <w:r>
              <w:rPr>
                <w:rFonts w:ascii="Wingdings" w:hAnsi="Wingdings"/>
                <w:sz w:val="18"/>
              </w:rPr>
              <w:sym w:font="Wingdings" w:char="F0FE"/>
            </w:r>
            <w:r>
              <w:rPr>
                <w:rFonts w:ascii="宋体" w:hAnsi="宋体" w:hint="eastAsia"/>
                <w:sz w:val="18"/>
                <w:u w:val="single"/>
              </w:rPr>
              <w:t>《信息技术服务 运行维护服务能力成熟度模型》条</w:t>
            </w:r>
            <w:r>
              <w:rPr>
                <w:rFonts w:ascii="宋体" w:hAnsi="宋体" w:hint="eastAsia"/>
                <w:sz w:val="18"/>
              </w:rPr>
              <w:t>款号：</w:t>
            </w:r>
            <w:r>
              <w:rPr>
                <w:rFonts w:ascii="Arial" w:eastAsia="宋体" w:hAnsi="Arial" w:cs="Arial" w:hint="default"/>
                <w:i w:val="0"/>
                <w:iCs w:val="0"/>
                <w:color w:val="343A40"/>
                <w:kern w:val="0"/>
                <w:sz w:val="21"/>
                <w:szCs w:val="21"/>
                <w:u w:val="none"/>
                <w:lang w:val="en-US" w:eastAsia="zh-CN"/>
              </w:rPr>
              <w:t>T/CESA 1299-2023</w:t>
            </w:r>
            <w:r>
              <w:rPr>
                <w:rFonts w:ascii="Arial" w:hAnsi="Arial" w:cs="Arial" w:hint="eastAsia"/>
                <w:i w:val="0"/>
                <w:iCs w:val="0"/>
                <w:color w:val="343A40"/>
                <w:kern w:val="0"/>
                <w:sz w:val="21"/>
                <w:szCs w:val="21"/>
                <w:u w:val="none"/>
                <w:lang w:val="en-US" w:eastAsia="zh-CN"/>
              </w:rPr>
              <w:t xml:space="preserve">  </w:t>
            </w:r>
            <w:r>
              <w:rPr>
                <w:rFonts w:ascii="Arial" w:eastAsia="宋体" w:hAnsi="Arial" w:cs="Arial" w:hint="default"/>
                <w:i w:val="0"/>
                <w:iCs w:val="0"/>
                <w:color w:val="343A40"/>
                <w:kern w:val="0"/>
                <w:sz w:val="21"/>
                <w:szCs w:val="21"/>
                <w:u w:val="none"/>
                <w:lang w:val="en-US" w:eastAsia="zh-CN"/>
              </w:rPr>
              <w:t>7.3.3 人员储备b)</w:t>
            </w:r>
          </w:p>
        </w:tc>
      </w:tr>
      <w:tr>
        <w:tblPrEx>
          <w:tblW w:w="10083" w:type="dxa"/>
          <w:jc w:val="center"/>
          <w:tblLayout w:type="fixed"/>
          <w:tblCellMar>
            <w:top w:w="0" w:type="dxa"/>
            <w:left w:w="108" w:type="dxa"/>
            <w:bottom w:w="0" w:type="dxa"/>
            <w:right w:w="108" w:type="dxa"/>
          </w:tblCellMar>
        </w:tblPrEx>
        <w:trPr>
          <w:cantSplit/>
          <w:trHeight w:val="304"/>
          <w:jc w:val="center"/>
        </w:trPr>
        <w:tc>
          <w:tcPr>
            <w:tcW w:w="1074" w:type="dxa"/>
            <w:gridSpan w:val="2"/>
          </w:tcPr>
          <w:p>
            <w:pPr>
              <w:spacing w:before="60" w:after="60"/>
              <w:rPr>
                <w:rFonts w:ascii="宋体" w:hAnsi="宋体"/>
                <w:b/>
              </w:rPr>
            </w:pPr>
            <w:r>
              <w:rPr>
                <w:rFonts w:ascii="宋体" w:hAnsi="宋体" w:hint="eastAsia"/>
                <w:b/>
              </w:rPr>
              <w:t>严重程度</w:t>
            </w:r>
          </w:p>
        </w:tc>
        <w:tc>
          <w:tcPr>
            <w:tcW w:w="1734" w:type="dxa"/>
            <w:vAlign w:val="center"/>
          </w:tcPr>
          <w:p>
            <w:pPr>
              <w:jc w:val="center"/>
              <w:rPr>
                <w:rFonts w:ascii="宋体" w:hAnsi="宋体"/>
              </w:rPr>
            </w:pPr>
            <w:r>
              <w:rPr>
                <w:rFonts w:ascii="Wingdings" w:hAnsi="Wingdings"/>
              </w:rPr>
              <w:sym w:font="Wingdings" w:char="F071"/>
            </w:r>
            <w:r>
              <w:rPr>
                <w:rFonts w:ascii="宋体" w:hAnsi="宋体" w:hint="eastAsia"/>
                <w:sz w:val="18"/>
              </w:rPr>
              <w:t xml:space="preserve"> 严重  </w:t>
            </w:r>
            <w:r>
              <w:rPr>
                <w:rFonts w:ascii="Wingdings" w:hAnsi="Wingdings"/>
              </w:rPr>
              <w:sym w:font="Wingdings" w:char="F0FE"/>
            </w:r>
            <w:r>
              <w:rPr>
                <w:rFonts w:ascii="宋体" w:hAnsi="宋体" w:hint="eastAsia"/>
                <w:sz w:val="18"/>
              </w:rPr>
              <w:t xml:space="preserve"> 一般</w:t>
            </w:r>
          </w:p>
        </w:tc>
        <w:tc>
          <w:tcPr>
            <w:tcW w:w="5402" w:type="dxa"/>
            <w:gridSpan w:val="7"/>
            <w:vAlign w:val="center"/>
          </w:tcPr>
          <w:p>
            <w:pPr>
              <w:jc w:val="center"/>
              <w:rPr>
                <w:rFonts w:ascii="宋体" w:hAnsi="宋体"/>
                <w:b/>
                <w:sz w:val="18"/>
              </w:rPr>
            </w:pPr>
            <w:r>
              <w:rPr>
                <w:rFonts w:ascii="Wingdings" w:hAnsi="Wingdings"/>
                <w:b/>
              </w:rPr>
              <w:sym w:font="Wingdings" w:char="F071"/>
            </w:r>
            <w:r>
              <w:rPr>
                <w:rFonts w:ascii="宋体" w:hAnsi="宋体" w:hint="eastAsia"/>
                <w:b/>
                <w:sz w:val="18"/>
              </w:rPr>
              <w:t xml:space="preserve">经被评估方验证的纠正措施资料/ </w:t>
            </w:r>
            <w:r>
              <w:rPr>
                <w:rFonts w:ascii="Wingdings" w:hAnsi="Wingdings"/>
                <w:b/>
              </w:rPr>
              <w:sym w:font="Wingdings" w:char="F071"/>
            </w:r>
            <w:r>
              <w:rPr>
                <w:rFonts w:ascii="宋体" w:hAnsi="宋体" w:hint="eastAsia"/>
                <w:b/>
                <w:sz w:val="18"/>
              </w:rPr>
              <w:t>纠正措施计划提交日期</w:t>
            </w:r>
          </w:p>
        </w:tc>
        <w:tc>
          <w:tcPr>
            <w:tcW w:w="1873" w:type="dxa"/>
            <w:vAlign w:val="center"/>
          </w:tcPr>
          <w:p>
            <w:pPr>
              <w:jc w:val="right"/>
              <w:rPr>
                <w:rFonts w:ascii="宋体" w:hAnsi="宋体"/>
                <w:sz w:val="18"/>
              </w:rPr>
            </w:pPr>
          </w:p>
        </w:tc>
      </w:tr>
      <w:tr>
        <w:tblPrEx>
          <w:tblW w:w="10083" w:type="dxa"/>
          <w:jc w:val="center"/>
          <w:tblLayout w:type="fixed"/>
          <w:tblCellMar>
            <w:top w:w="0" w:type="dxa"/>
            <w:left w:w="108" w:type="dxa"/>
            <w:bottom w:w="0" w:type="dxa"/>
            <w:right w:w="108" w:type="dxa"/>
          </w:tblCellMar>
        </w:tblPrEx>
        <w:trPr>
          <w:cantSplit/>
          <w:trHeight w:val="1260"/>
          <w:jc w:val="center"/>
        </w:trPr>
        <w:tc>
          <w:tcPr>
            <w:tcW w:w="10083" w:type="dxa"/>
            <w:gridSpan w:val="11"/>
          </w:tcPr>
          <w:p>
            <w:pPr>
              <w:rPr>
                <w:rFonts w:ascii="宋体" w:hAnsi="宋体" w:hint="eastAsia"/>
                <w:b/>
              </w:rPr>
            </w:pPr>
            <w:r>
              <w:rPr>
                <w:rFonts w:ascii="宋体" w:hAnsi="宋体" w:hint="eastAsia"/>
                <w:b/>
              </w:rPr>
              <w:t>对不符合的处置：</w:t>
            </w:r>
          </w:p>
          <w:p>
            <w:pPr>
              <w:pStyle w:val="NormalWeb"/>
              <w:keepNext w:val="0"/>
              <w:keepLines w:val="0"/>
              <w:widowControl/>
              <w:numPr>
                <w:ilvl w:val="0"/>
                <w:numId w:val="2"/>
              </w:numPr>
              <w:suppressLineNumbers w:val="0"/>
              <w:ind w:left="425" w:hanging="425" w:leftChars="0" w:firstLineChars="0"/>
            </w:pPr>
            <w:r>
              <w:t>对《运维服务能力指标体系》与《2026年运维服务能力管理计划》中人员招聘相关内容进行重新检查和核对。</w:t>
            </w:r>
          </w:p>
          <w:p>
            <w:pPr>
              <w:pStyle w:val="NormalWeb"/>
              <w:keepNext w:val="0"/>
              <w:keepLines w:val="0"/>
              <w:widowControl/>
              <w:numPr>
                <w:ilvl w:val="0"/>
                <w:numId w:val="2"/>
              </w:numPr>
              <w:suppressLineNumbers w:val="0"/>
              <w:ind w:left="425" w:hanging="425" w:leftChars="0" w:firstLineChars="0"/>
            </w:pPr>
            <w:r>
              <w:t>根据《2026年运维服务能力管理计划》中人员招聘的实际策划内容，对《运维服务能力指标体系》中的招聘目标值进行修订。</w:t>
            </w:r>
          </w:p>
          <w:p>
            <w:pPr>
              <w:pStyle w:val="NormalWeb"/>
              <w:keepNext w:val="0"/>
              <w:keepLines w:val="0"/>
              <w:widowControl/>
              <w:numPr>
                <w:ilvl w:val="0"/>
                <w:numId w:val="2"/>
              </w:numPr>
              <w:suppressLineNumbers w:val="0"/>
              <w:ind w:left="425" w:hanging="425" w:leftChars="0" w:firstLineChars="0"/>
            </w:pPr>
            <w:r>
              <w:t>对修订后的招聘指标进行确认，确保招聘目标值与2026年度运维服务能力管理计划中的招聘内容相适宜，并保持一致。</w:t>
            </w:r>
          </w:p>
          <w:p>
            <w:pPr>
              <w:rPr>
                <w:rFonts w:ascii="宋体" w:hAnsi="宋体" w:hint="eastAsia"/>
                <w:b/>
              </w:rPr>
            </w:pPr>
          </w:p>
        </w:tc>
      </w:tr>
      <w:tr>
        <w:tblPrEx>
          <w:tblW w:w="10083" w:type="dxa"/>
          <w:jc w:val="center"/>
          <w:tblLayout w:type="fixed"/>
          <w:tblCellMar>
            <w:top w:w="0" w:type="dxa"/>
            <w:left w:w="108" w:type="dxa"/>
            <w:bottom w:w="0" w:type="dxa"/>
            <w:right w:w="108" w:type="dxa"/>
          </w:tblCellMar>
        </w:tblPrEx>
        <w:trPr>
          <w:cantSplit/>
          <w:jc w:val="center"/>
        </w:trPr>
        <w:tc>
          <w:tcPr>
            <w:tcW w:w="10083" w:type="dxa"/>
            <w:gridSpan w:val="11"/>
          </w:tcPr>
          <w:p>
            <w:pPr>
              <w:spacing w:before="60"/>
              <w:rPr>
                <w:rFonts w:ascii="宋体" w:hAnsi="宋体"/>
                <w:b/>
              </w:rPr>
            </w:pPr>
            <w:r>
              <w:rPr>
                <w:rFonts w:ascii="宋体" w:hAnsi="宋体" w:hint="eastAsia"/>
                <w:b/>
              </w:rPr>
              <w:t>不符合原因分析：</w:t>
            </w:r>
          </w:p>
          <w:p>
            <w:pPr>
              <w:numPr>
                <w:ilvl w:val="0"/>
                <w:numId w:val="3"/>
              </w:numPr>
              <w:ind w:left="425" w:hanging="425" w:leftChars="0" w:firstLineChars="0"/>
              <w:rPr>
                <w:rFonts w:ascii="宋体" w:hAnsi="宋体" w:hint="eastAsia"/>
              </w:rPr>
            </w:pPr>
            <w:r>
              <w:rPr>
                <w:rFonts w:ascii="宋体" w:hAnsi="宋体" w:hint="eastAsia"/>
              </w:rPr>
              <w:t>运维</w:t>
            </w:r>
            <w:bookmarkStart w:id="2" w:name="_GoBack"/>
            <w:bookmarkEnd w:id="2"/>
            <w:r>
              <w:rPr>
                <w:rFonts w:ascii="宋体" w:hAnsi="宋体" w:hint="eastAsia"/>
              </w:rPr>
              <w:t>相关人员对能力策划中管理目标与能力指标体系之间的关联要求理解不到位。</w:t>
            </w:r>
          </w:p>
          <w:p>
            <w:pPr>
              <w:numPr>
                <w:ilvl w:val="0"/>
                <w:numId w:val="3"/>
              </w:numPr>
              <w:ind w:left="425" w:hanging="425" w:leftChars="0" w:firstLineChars="0"/>
              <w:rPr>
                <w:rFonts w:ascii="宋体" w:hAnsi="宋体" w:hint="eastAsia"/>
              </w:rPr>
            </w:pPr>
            <w:r>
              <w:rPr>
                <w:rFonts w:ascii="宋体" w:hAnsi="宋体" w:hint="eastAsia"/>
              </w:rPr>
              <w:t>在编制《运维服务能力指标体系》时，未充分结合《2026年运维服务能力管理计划》中人员招聘的具体策划内容确定招聘目标值。</w:t>
            </w:r>
          </w:p>
          <w:p>
            <w:pPr>
              <w:numPr>
                <w:ilvl w:val="0"/>
                <w:numId w:val="3"/>
              </w:numPr>
              <w:ind w:left="425" w:hanging="425" w:leftChars="0" w:firstLineChars="0"/>
              <w:rPr>
                <w:rFonts w:ascii="宋体" w:hAnsi="宋体"/>
              </w:rPr>
            </w:pPr>
            <w:r>
              <w:rPr>
                <w:rFonts w:ascii="宋体" w:hAnsi="宋体" w:hint="eastAsia"/>
              </w:rPr>
              <w:t>对《运维服务能力指标体系》与年度《运维服务能力管理计划》之间的</w:t>
            </w:r>
            <w:r>
              <w:rPr>
                <w:rFonts w:ascii="宋体" w:hAnsi="宋体" w:hint="eastAsia"/>
                <w:lang w:val="en-US" w:eastAsia="zh-CN"/>
              </w:rPr>
              <w:t>关联</w:t>
            </w:r>
            <w:r>
              <w:rPr>
                <w:rFonts w:ascii="宋体" w:hAnsi="宋体" w:hint="eastAsia"/>
              </w:rPr>
              <w:t>性检查不足，导致招聘目标值与年度招聘策划内容不相适宜。</w:t>
            </w:r>
          </w:p>
        </w:tc>
      </w:tr>
      <w:tr>
        <w:tblPrEx>
          <w:tblW w:w="10083" w:type="dxa"/>
          <w:jc w:val="center"/>
          <w:tblLayout w:type="fixed"/>
          <w:tblCellMar>
            <w:top w:w="0" w:type="dxa"/>
            <w:left w:w="108" w:type="dxa"/>
            <w:bottom w:w="0" w:type="dxa"/>
            <w:right w:w="108" w:type="dxa"/>
          </w:tblCellMar>
        </w:tblPrEx>
        <w:trPr>
          <w:cantSplit/>
          <w:trHeight w:val="2329"/>
          <w:jc w:val="center"/>
        </w:trPr>
        <w:tc>
          <w:tcPr>
            <w:tcW w:w="10083" w:type="dxa"/>
            <w:gridSpan w:val="11"/>
          </w:tcPr>
          <w:p>
            <w:pPr>
              <w:spacing w:before="60"/>
              <w:rPr>
                <w:rFonts w:ascii="宋体" w:hAnsi="宋体"/>
                <w:b/>
              </w:rPr>
            </w:pPr>
            <w:r>
              <w:rPr>
                <w:rFonts w:ascii="宋体" w:hAnsi="宋体" w:hint="eastAsia"/>
                <w:b/>
              </w:rPr>
              <w:t>针对原因采取的防止再发生的措施（请列出新的或修订后的流程、或增加的检测控制、或增加的资源等）：</w:t>
            </w:r>
          </w:p>
          <w:p>
            <w:pPr>
              <w:numPr>
                <w:ilvl w:val="0"/>
                <w:numId w:val="4"/>
              </w:numPr>
              <w:ind w:left="425" w:hanging="425" w:leftChars="0" w:firstLineChars="0"/>
              <w:rPr>
                <w:rFonts w:ascii="宋体" w:hAnsi="宋体" w:hint="eastAsia"/>
              </w:rPr>
            </w:pPr>
            <w:r>
              <w:rPr>
                <w:rFonts w:ascii="宋体" w:hAnsi="宋体" w:hint="eastAsia"/>
              </w:rPr>
              <w:t>组织</w:t>
            </w:r>
            <w:r>
              <w:rPr>
                <w:rFonts w:ascii="宋体" w:hAnsi="宋体" w:hint="eastAsia"/>
                <w:lang w:val="en-US" w:eastAsia="zh-CN"/>
              </w:rPr>
              <w:t>运维</w:t>
            </w:r>
            <w:r>
              <w:rPr>
                <w:rFonts w:ascii="宋体" w:hAnsi="宋体" w:hint="eastAsia"/>
              </w:rPr>
              <w:t>相关人员对</w:t>
            </w:r>
            <w:r>
              <w:rPr>
                <w:rFonts w:ascii="宋体" w:hAnsi="宋体" w:hint="eastAsia"/>
                <w:lang w:eastAsia="zh-CN"/>
              </w:rPr>
              <w:t>《SFKJ-ITSS-0301-运维服务能力管理制度》</w:t>
            </w:r>
            <w:r>
              <w:rPr>
                <w:rFonts w:ascii="宋体" w:hAnsi="宋体" w:hint="eastAsia"/>
              </w:rPr>
              <w:t>要求进行培训和宣贯，提高相关人员对能力管理目标、能力管理计划和能力指标体系之间关联关系的理解。</w:t>
            </w:r>
          </w:p>
          <w:p>
            <w:pPr>
              <w:numPr>
                <w:ilvl w:val="0"/>
                <w:numId w:val="4"/>
              </w:numPr>
              <w:ind w:left="425" w:hanging="425" w:leftChars="0" w:firstLineChars="0"/>
              <w:rPr>
                <w:rFonts w:ascii="宋体" w:hAnsi="宋体" w:hint="eastAsia"/>
              </w:rPr>
            </w:pPr>
            <w:r>
              <w:rPr>
                <w:rFonts w:ascii="宋体" w:hAnsi="宋体" w:hint="eastAsia"/>
              </w:rPr>
              <w:t>加强《运维服务能力指标体系》的审核，在制定或修订能力指标时，对照年度《运维服务能力管理计划》逐项检查指标设置及目标值的适宜性。</w:t>
            </w:r>
          </w:p>
          <w:p>
            <w:pPr>
              <w:numPr>
                <w:ilvl w:val="0"/>
                <w:numId w:val="4"/>
              </w:numPr>
              <w:ind w:left="425" w:hanging="425" w:leftChars="0" w:firstLineChars="0"/>
              <w:rPr>
                <w:rFonts w:ascii="宋体" w:hAnsi="宋体" w:hint="eastAsia"/>
              </w:rPr>
            </w:pPr>
            <w:r>
              <w:rPr>
                <w:rFonts w:ascii="宋体" w:hAnsi="宋体" w:hint="eastAsia"/>
              </w:rPr>
              <w:t>在年度运维服务能力管理计划制定或调整后，同步检查和调整相应的能力指标，确保能力指标与年度能力管理目标及管理计划保持一致。</w:t>
            </w:r>
          </w:p>
          <w:p>
            <w:pPr>
              <w:numPr>
                <w:ilvl w:val="0"/>
                <w:numId w:val="4"/>
              </w:numPr>
              <w:ind w:left="425" w:hanging="425" w:leftChars="0" w:firstLineChars="0"/>
              <w:rPr>
                <w:rFonts w:ascii="宋体" w:hAnsi="宋体"/>
              </w:rPr>
            </w:pPr>
            <w:r>
              <w:rPr>
                <w:rFonts w:ascii="宋体" w:hAnsi="宋体" w:hint="eastAsia"/>
              </w:rPr>
              <w:t>对现有人员、资源、技术和过程相关能力指标进行全面检查，发现存在类似不一致的情况及时进行修订，防止此类问题再次发生。</w:t>
            </w:r>
          </w:p>
          <w:p>
            <w:pPr>
              <w:spacing w:before="240" w:after="60"/>
              <w:rPr>
                <w:rFonts w:ascii="宋体" w:hAnsi="宋体"/>
                <w:sz w:val="18"/>
              </w:rPr>
            </w:pPr>
            <w:r>
              <w:rPr>
                <w:rFonts w:ascii="宋体" w:hAnsi="宋体" w:hint="eastAsia"/>
                <w:b/>
                <w:sz w:val="18"/>
              </w:rPr>
              <w:t xml:space="preserve">被评估方验证人员： </w:t>
            </w:r>
            <w:r>
              <w:rPr>
                <w:rFonts w:ascii="宋体" w:hAnsi="宋体"/>
                <w:b/>
                <w:sz w:val="18"/>
              </w:rPr>
              <w:t xml:space="preserve">                                 </w:t>
            </w:r>
            <w:r>
              <w:rPr>
                <w:rFonts w:ascii="宋体" w:hAnsi="宋体" w:hint="eastAsia"/>
                <w:b/>
                <w:sz w:val="18"/>
              </w:rPr>
              <w:t>被评估方管理者(代表)确认：</w:t>
            </w:r>
            <w:r>
              <w:rPr>
                <w:rFonts w:ascii="宋体" w:hAnsi="宋体" w:hint="eastAsia"/>
                <w:sz w:val="18"/>
              </w:rPr>
              <w:t xml:space="preserve">           </w:t>
            </w:r>
            <w:r>
              <w:rPr>
                <w:rFonts w:ascii="宋体" w:hAnsi="宋体"/>
                <w:sz w:val="18"/>
              </w:rPr>
              <w:t xml:space="preserve">  </w:t>
            </w:r>
            <w:r>
              <w:rPr>
                <w:rFonts w:ascii="宋体" w:hAnsi="宋体" w:hint="eastAsia"/>
                <w:sz w:val="18"/>
              </w:rPr>
              <w:t>年</w:t>
            </w:r>
            <w:r>
              <w:rPr>
                <w:rFonts w:ascii="宋体" w:hAnsi="宋体" w:hint="eastAsia"/>
                <w:sz w:val="18"/>
                <w:lang w:val="en-US" w:eastAsia="zh-CN"/>
              </w:rPr>
              <w:t xml:space="preserve">   </w:t>
            </w:r>
            <w:r>
              <w:rPr>
                <w:rFonts w:ascii="宋体" w:hAnsi="宋体" w:hint="eastAsia"/>
                <w:sz w:val="18"/>
              </w:rPr>
              <w:t>月  日</w:t>
            </w:r>
          </w:p>
        </w:tc>
      </w:tr>
      <w:tr>
        <w:tblPrEx>
          <w:tblW w:w="10083" w:type="dxa"/>
          <w:jc w:val="center"/>
          <w:tblLayout w:type="fixed"/>
          <w:tblCellMar>
            <w:top w:w="0" w:type="dxa"/>
            <w:left w:w="108" w:type="dxa"/>
            <w:bottom w:w="0" w:type="dxa"/>
            <w:right w:w="108" w:type="dxa"/>
          </w:tblCellMar>
        </w:tblPrEx>
        <w:trPr>
          <w:cantSplit/>
          <w:trHeight w:val="375"/>
          <w:jc w:val="center"/>
        </w:trPr>
        <w:tc>
          <w:tcPr>
            <w:tcW w:w="648" w:type="dxa"/>
            <w:vMerge w:val="restart"/>
            <w:vAlign w:val="center"/>
          </w:tcPr>
          <w:p>
            <w:pPr>
              <w:jc w:val="center"/>
              <w:rPr>
                <w:rFonts w:ascii="宋体" w:hAnsi="宋体"/>
                <w:b/>
              </w:rPr>
            </w:pPr>
            <w:r>
              <w:rPr>
                <w:rFonts w:ascii="宋体" w:hAnsi="宋体" w:hint="eastAsia"/>
                <w:b/>
              </w:rPr>
              <w:t>跟踪</w:t>
            </w:r>
          </w:p>
          <w:p>
            <w:pPr>
              <w:jc w:val="center"/>
              <w:rPr>
                <w:rFonts w:ascii="宋体" w:hAnsi="宋体"/>
              </w:rPr>
            </w:pPr>
            <w:r>
              <w:rPr>
                <w:rFonts w:ascii="宋体" w:hAnsi="宋体" w:hint="eastAsia"/>
                <w:b/>
              </w:rPr>
              <w:t>验证</w:t>
            </w:r>
          </w:p>
        </w:tc>
        <w:tc>
          <w:tcPr>
            <w:tcW w:w="4140" w:type="dxa"/>
            <w:gridSpan w:val="4"/>
            <w:vAlign w:val="center"/>
          </w:tcPr>
          <w:p>
            <w:pPr>
              <w:rPr>
                <w:rFonts w:ascii="宋体" w:hAnsi="宋体"/>
                <w:sz w:val="18"/>
              </w:rPr>
            </w:pPr>
            <w:r>
              <w:rPr>
                <w:rFonts w:ascii="宋体" w:hAnsi="宋体" w:hint="eastAsia"/>
                <w:sz w:val="18"/>
              </w:rPr>
              <w:t xml:space="preserve">不符合处置是否有效        </w:t>
            </w:r>
            <w:r>
              <w:rPr>
                <w:rFonts w:ascii="Wingdings" w:hAnsi="Wingdings"/>
              </w:rPr>
              <w:sym w:font="Wingdings" w:char="F071"/>
            </w:r>
            <w:r>
              <w:rPr>
                <w:rFonts w:ascii="宋体" w:hAnsi="宋体" w:hint="eastAsia"/>
                <w:sz w:val="18"/>
              </w:rPr>
              <w:t xml:space="preserve"> 是   </w:t>
            </w:r>
            <w:r>
              <w:rPr>
                <w:rFonts w:ascii="Wingdings" w:hAnsi="Wingdings"/>
              </w:rPr>
              <w:sym w:font="Wingdings" w:char="F071"/>
            </w:r>
            <w:r>
              <w:rPr>
                <w:rFonts w:ascii="宋体" w:hAnsi="宋体" w:hint="eastAsia"/>
                <w:sz w:val="18"/>
              </w:rPr>
              <w:t xml:space="preserve"> 否</w:t>
            </w:r>
          </w:p>
        </w:tc>
        <w:tc>
          <w:tcPr>
            <w:tcW w:w="1440" w:type="dxa"/>
            <w:gridSpan w:val="3"/>
            <w:vMerge w:val="restart"/>
            <w:vAlign w:val="center"/>
          </w:tcPr>
          <w:p>
            <w:pPr>
              <w:rPr>
                <w:rFonts w:ascii="宋体" w:hAnsi="宋体"/>
                <w:b/>
              </w:rPr>
            </w:pPr>
            <w:r>
              <w:rPr>
                <w:rFonts w:ascii="宋体" w:hAnsi="宋体" w:hint="eastAsia"/>
                <w:b/>
              </w:rPr>
              <w:t>验证方式：</w:t>
            </w:r>
          </w:p>
          <w:p>
            <w:pPr>
              <w:spacing w:before="120" w:after="60"/>
              <w:rPr>
                <w:rFonts w:ascii="宋体" w:hAnsi="宋体"/>
                <w:sz w:val="18"/>
              </w:rPr>
            </w:pPr>
            <w:r>
              <w:rPr>
                <w:rFonts w:ascii="Wingdings" w:hAnsi="Wingdings"/>
              </w:rPr>
              <w:sym w:font="Wingdings" w:char="F071"/>
            </w:r>
            <w:r>
              <w:rPr>
                <w:rFonts w:ascii="宋体" w:hAnsi="宋体" w:hint="eastAsia"/>
                <w:sz w:val="18"/>
              </w:rPr>
              <w:t xml:space="preserve"> 文件验证</w:t>
            </w:r>
          </w:p>
          <w:p>
            <w:pPr>
              <w:spacing w:before="60"/>
              <w:rPr>
                <w:rFonts w:ascii="宋体" w:hAnsi="宋体"/>
              </w:rPr>
            </w:pPr>
            <w:r>
              <w:rPr>
                <w:rFonts w:ascii="Wingdings" w:hAnsi="Wingdings"/>
              </w:rPr>
              <w:sym w:font="Wingdings" w:char="F071"/>
            </w:r>
            <w:r>
              <w:rPr>
                <w:rFonts w:ascii="宋体" w:hAnsi="宋体" w:hint="eastAsia"/>
                <w:sz w:val="18"/>
              </w:rPr>
              <w:t xml:space="preserve"> 现场验证</w:t>
            </w:r>
          </w:p>
        </w:tc>
        <w:tc>
          <w:tcPr>
            <w:tcW w:w="3855" w:type="dxa"/>
            <w:gridSpan w:val="3"/>
            <w:vMerge w:val="restart"/>
          </w:tcPr>
          <w:p>
            <w:pPr>
              <w:spacing w:before="120"/>
              <w:rPr>
                <w:rFonts w:ascii="宋体" w:hAnsi="宋体"/>
                <w:b/>
              </w:rPr>
            </w:pPr>
            <w:r>
              <w:rPr>
                <w:rFonts w:ascii="宋体" w:hAnsi="宋体" w:hint="eastAsia"/>
                <w:b/>
              </w:rPr>
              <w:t>验证人员(签名)</w:t>
            </w:r>
          </w:p>
          <w:p>
            <w:pPr>
              <w:rPr>
                <w:rFonts w:ascii="宋体" w:hAnsi="宋体"/>
              </w:rPr>
            </w:pPr>
          </w:p>
          <w:p>
            <w:pPr>
              <w:rPr>
                <w:rFonts w:ascii="宋体" w:hAnsi="宋体"/>
              </w:rPr>
            </w:pPr>
          </w:p>
          <w:p>
            <w:pPr>
              <w:ind w:firstLine="837"/>
              <w:rPr>
                <w:rFonts w:ascii="宋体" w:hAnsi="宋体"/>
              </w:rPr>
            </w:pPr>
            <w:r>
              <w:rPr>
                <w:rFonts w:ascii="宋体" w:hAnsi="宋体" w:hint="eastAsia"/>
              </w:rPr>
              <w:t xml:space="preserve">          年    月    日</w:t>
            </w:r>
          </w:p>
        </w:tc>
      </w:tr>
      <w:tr>
        <w:tblPrEx>
          <w:tblW w:w="10083" w:type="dxa"/>
          <w:jc w:val="center"/>
          <w:tblLayout w:type="fixed"/>
          <w:tblCellMar>
            <w:top w:w="0" w:type="dxa"/>
            <w:left w:w="108" w:type="dxa"/>
            <w:bottom w:w="0" w:type="dxa"/>
            <w:right w:w="108" w:type="dxa"/>
          </w:tblCellMar>
        </w:tblPrEx>
        <w:trPr>
          <w:cantSplit/>
          <w:trHeight w:val="375"/>
          <w:jc w:val="center"/>
        </w:trPr>
        <w:tc>
          <w:tcPr>
            <w:tcW w:w="648" w:type="dxa"/>
            <w:vMerge/>
          </w:tcPr>
          <w:p>
            <w:pPr>
              <w:rPr>
                <w:rFonts w:ascii="宋体" w:hAnsi="宋体"/>
              </w:rPr>
            </w:pPr>
          </w:p>
        </w:tc>
        <w:tc>
          <w:tcPr>
            <w:tcW w:w="4140" w:type="dxa"/>
            <w:gridSpan w:val="4"/>
            <w:vAlign w:val="center"/>
          </w:tcPr>
          <w:p>
            <w:pPr>
              <w:rPr>
                <w:rFonts w:ascii="宋体" w:hAnsi="宋体"/>
                <w:sz w:val="18"/>
              </w:rPr>
            </w:pPr>
            <w:r>
              <w:rPr>
                <w:rFonts w:ascii="宋体" w:hAnsi="宋体" w:hint="eastAsia"/>
                <w:sz w:val="18"/>
              </w:rPr>
              <w:t xml:space="preserve">原因分析是否准确          </w:t>
            </w:r>
            <w:r>
              <w:rPr>
                <w:rFonts w:ascii="Wingdings" w:hAnsi="Wingdings"/>
              </w:rPr>
              <w:sym w:font="Wingdings" w:char="F071"/>
            </w:r>
            <w:r>
              <w:rPr>
                <w:rFonts w:ascii="宋体" w:hAnsi="宋体"/>
              </w:rPr>
              <w:t xml:space="preserve"> </w:t>
            </w:r>
            <w:r>
              <w:rPr>
                <w:rFonts w:ascii="宋体" w:hAnsi="宋体" w:hint="eastAsia"/>
                <w:sz w:val="18"/>
              </w:rPr>
              <w:t xml:space="preserve">是   </w:t>
            </w:r>
            <w:r>
              <w:rPr>
                <w:rFonts w:ascii="Wingdings" w:hAnsi="Wingdings"/>
              </w:rPr>
              <w:sym w:font="Wingdings" w:char="F071"/>
            </w:r>
            <w:r>
              <w:rPr>
                <w:rFonts w:ascii="宋体" w:hAnsi="宋体" w:hint="eastAsia"/>
                <w:sz w:val="18"/>
              </w:rPr>
              <w:t xml:space="preserve"> 否</w:t>
            </w:r>
          </w:p>
        </w:tc>
        <w:tc>
          <w:tcPr>
            <w:tcW w:w="1440" w:type="dxa"/>
            <w:gridSpan w:val="3"/>
            <w:vMerge/>
          </w:tcPr>
          <w:p>
            <w:pPr>
              <w:spacing w:before="60" w:after="60"/>
              <w:rPr>
                <w:rFonts w:ascii="宋体" w:hAnsi="宋体"/>
              </w:rPr>
            </w:pPr>
          </w:p>
        </w:tc>
        <w:tc>
          <w:tcPr>
            <w:tcW w:w="3855" w:type="dxa"/>
            <w:gridSpan w:val="3"/>
            <w:vMerge/>
          </w:tcPr>
          <w:p>
            <w:pPr>
              <w:rPr>
                <w:rFonts w:ascii="宋体" w:hAnsi="宋体"/>
              </w:rPr>
            </w:pPr>
          </w:p>
        </w:tc>
      </w:tr>
      <w:tr>
        <w:tblPrEx>
          <w:tblW w:w="10083" w:type="dxa"/>
          <w:jc w:val="center"/>
          <w:tblLayout w:type="fixed"/>
          <w:tblCellMar>
            <w:top w:w="0" w:type="dxa"/>
            <w:left w:w="108" w:type="dxa"/>
            <w:bottom w:w="0" w:type="dxa"/>
            <w:right w:w="108" w:type="dxa"/>
          </w:tblCellMar>
        </w:tblPrEx>
        <w:trPr>
          <w:cantSplit/>
          <w:trHeight w:val="375"/>
          <w:jc w:val="center"/>
        </w:trPr>
        <w:tc>
          <w:tcPr>
            <w:tcW w:w="648" w:type="dxa"/>
            <w:vMerge/>
          </w:tcPr>
          <w:p>
            <w:pPr>
              <w:rPr>
                <w:rFonts w:ascii="宋体" w:hAnsi="宋体"/>
              </w:rPr>
            </w:pPr>
          </w:p>
        </w:tc>
        <w:tc>
          <w:tcPr>
            <w:tcW w:w="4140" w:type="dxa"/>
            <w:gridSpan w:val="4"/>
            <w:vAlign w:val="center"/>
          </w:tcPr>
          <w:p>
            <w:pPr>
              <w:rPr>
                <w:rFonts w:ascii="宋体" w:hAnsi="宋体"/>
                <w:sz w:val="18"/>
              </w:rPr>
            </w:pPr>
            <w:r>
              <w:rPr>
                <w:rFonts w:ascii="宋体" w:hAnsi="宋体" w:hint="eastAsia"/>
                <w:sz w:val="18"/>
              </w:rPr>
              <w:t xml:space="preserve">防止再发生的措施是否有效  </w:t>
            </w:r>
            <w:r>
              <w:rPr>
                <w:rFonts w:ascii="Wingdings" w:hAnsi="Wingdings"/>
              </w:rPr>
              <w:sym w:font="Wingdings" w:char="F071"/>
            </w:r>
            <w:r>
              <w:rPr>
                <w:rFonts w:ascii="宋体" w:hAnsi="宋体" w:hint="eastAsia"/>
                <w:sz w:val="18"/>
              </w:rPr>
              <w:t xml:space="preserve"> 是   </w:t>
            </w:r>
            <w:r>
              <w:rPr>
                <w:rFonts w:ascii="Wingdings" w:hAnsi="Wingdings"/>
              </w:rPr>
              <w:sym w:font="Wingdings" w:char="F071"/>
            </w:r>
            <w:r>
              <w:rPr>
                <w:rFonts w:ascii="宋体" w:hAnsi="宋体" w:hint="eastAsia"/>
                <w:sz w:val="18"/>
              </w:rPr>
              <w:t xml:space="preserve"> 否</w:t>
            </w:r>
          </w:p>
        </w:tc>
        <w:tc>
          <w:tcPr>
            <w:tcW w:w="1440" w:type="dxa"/>
            <w:gridSpan w:val="3"/>
            <w:vMerge/>
          </w:tcPr>
          <w:p>
            <w:pPr>
              <w:spacing w:before="60" w:after="60"/>
              <w:rPr>
                <w:rFonts w:ascii="宋体" w:hAnsi="宋体"/>
              </w:rPr>
            </w:pPr>
          </w:p>
        </w:tc>
        <w:tc>
          <w:tcPr>
            <w:tcW w:w="3855" w:type="dxa"/>
            <w:gridSpan w:val="3"/>
            <w:vMerge/>
          </w:tcPr>
          <w:p>
            <w:pPr>
              <w:rPr>
                <w:rFonts w:ascii="宋体" w:hAnsi="宋体"/>
              </w:rPr>
            </w:pPr>
          </w:p>
        </w:tc>
      </w:tr>
    </w:tbl>
    <w:p>
      <w:pPr>
        <w:ind w:left="527" w:hanging="527"/>
        <w:rPr>
          <w:rFonts w:ascii="宋体" w:hAnsi="宋体"/>
          <w:sz w:val="18"/>
        </w:rPr>
      </w:pPr>
      <w:r>
        <w:rPr>
          <w:rFonts w:ascii="宋体" w:hAnsi="宋体" w:hint="eastAsia"/>
          <w:sz w:val="18"/>
        </w:rPr>
        <w:t>注：</w:t>
      </w:r>
      <w:r>
        <w:rPr>
          <w:rFonts w:ascii="宋体" w:hAnsi="宋体" w:hint="eastAsia"/>
          <w:sz w:val="18"/>
          <w:szCs w:val="18"/>
        </w:rPr>
        <w:t xml:space="preserve">① </w:t>
      </w:r>
      <w:r>
        <w:rPr>
          <w:rFonts w:ascii="宋体" w:hAnsi="宋体" w:hint="eastAsia"/>
          <w:sz w:val="18"/>
        </w:rPr>
        <w:t>提交纠正措施时,须在本报告后附上一一对应的证明材料，否则须重新提交；</w:t>
      </w:r>
    </w:p>
    <w:p>
      <w:pPr>
        <w:ind w:left="350" w:firstLine="15" w:firstLineChars="7"/>
        <w:rPr>
          <w:rFonts w:ascii="宋体" w:hAnsi="宋体"/>
          <w:sz w:val="18"/>
        </w:rPr>
      </w:pPr>
      <w:r>
        <w:rPr>
          <w:rFonts w:ascii="宋体" w:hAnsi="宋体" w:hint="eastAsia"/>
          <w:sz w:val="18"/>
        </w:rPr>
        <w:t>② 如果没有针对本报告及时采取有效的纠正措施，可能会导致延迟注册或注册资格的暂停/撤销；</w:t>
      </w:r>
    </w:p>
    <w:p>
      <w:pPr>
        <w:ind w:left="350" w:firstLine="15" w:firstLineChars="7"/>
        <w:rPr>
          <w:rFonts w:ascii="宋体" w:hAnsi="宋体"/>
          <w:sz w:val="18"/>
        </w:rPr>
      </w:pPr>
      <w:r>
        <w:rPr>
          <w:rFonts w:ascii="宋体" w:hAnsi="宋体" w:hint="eastAsia"/>
          <w:sz w:val="18"/>
        </w:rPr>
        <w:t>③ 属提交纠正措施计划时，本机构将另行确定纠正措施实施效果验证方式。</w:t>
      </w:r>
    </w:p>
    <w:p>
      <w:pPr>
        <w:ind w:left="350" w:firstLine="15" w:firstLineChars="7"/>
        <w:rPr>
          <w:rFonts w:ascii="宋体" w:hAnsi="宋体"/>
          <w:sz w:val="18"/>
        </w:rPr>
      </w:pPr>
    </w:p>
    <w:p>
      <w:pPr>
        <w:ind w:left="350" w:firstLine="15" w:firstLineChars="7"/>
        <w:rPr>
          <w:rFonts w:ascii="宋体" w:hAnsi="宋体"/>
          <w:sz w:val="18"/>
        </w:rPr>
      </w:pPr>
    </w:p>
    <w:p>
      <w:pPr>
        <w:widowControl/>
        <w:jc w:val="left"/>
        <w:rPr>
          <w:rFonts w:ascii="宋体" w:hAnsi="宋体"/>
          <w:sz w:val="18"/>
        </w:rPr>
      </w:pPr>
    </w:p>
    <w:sectPr>
      <w:pgSz w:w="11906" w:h="16838"/>
      <w:pgMar w:top="851" w:right="849" w:bottom="709"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创艺简黑体">
    <w:altName w:val="黑体"/>
    <w:panose1 w:val="00000000000000000000"/>
    <w:charset w:val="86"/>
    <w:family w:val="auto"/>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0B2A921"/>
    <w:multiLevelType w:val="singleLevel"/>
    <w:tmpl w:val="90B2A921"/>
    <w:lvl w:ilvl="0">
      <w:start w:val="1"/>
      <w:numFmt w:val="decimal"/>
      <w:lvlText w:val="%1."/>
      <w:lvlJc w:val="left"/>
      <w:pPr>
        <w:ind w:left="425" w:hanging="425"/>
      </w:pPr>
      <w:rPr>
        <w:rFonts w:hint="default"/>
      </w:rPr>
    </w:lvl>
  </w:abstractNum>
  <w:abstractNum w:abstractNumId="1">
    <w:nsid w:val="9B582503"/>
    <w:multiLevelType w:val="singleLevel"/>
    <w:tmpl w:val="9B582503"/>
    <w:lvl w:ilvl="0">
      <w:start w:val="1"/>
      <w:numFmt w:val="decimal"/>
      <w:lvlText w:val="%1."/>
      <w:lvlJc w:val="left"/>
      <w:pPr>
        <w:ind w:left="425" w:hanging="425"/>
      </w:pPr>
      <w:rPr>
        <w:rFonts w:hint="default"/>
      </w:rPr>
    </w:lvl>
  </w:abstractNum>
  <w:abstractNum w:abstractNumId="2">
    <w:nsid w:val="11CB38A9"/>
    <w:multiLevelType w:val="singleLevel"/>
    <w:tmpl w:val="11CB38A9"/>
    <w:lvl w:ilvl="0">
      <w:start w:val="1"/>
      <w:numFmt w:val="decimal"/>
      <w:lvlText w:val="%1."/>
      <w:lvlJc w:val="left"/>
      <w:pPr>
        <w:ind w:left="425" w:hanging="425"/>
      </w:pPr>
      <w:rPr>
        <w:rFonts w:hint="default"/>
      </w:rPr>
    </w:lvl>
  </w:abstractNum>
  <w:abstractNum w:abstractNumId="3">
    <w:nsid w:val="152C0026"/>
    <w:multiLevelType w:val="multilevel"/>
    <w:tmpl w:val="152C0026"/>
    <w:lvl w:ilvl="0">
      <w:start w:val="1"/>
      <w:numFmt w:val="decimal"/>
      <w:pStyle w:val="Heading1"/>
      <w:lvlText w:val="%1"/>
      <w:lvlJc w:val="left"/>
      <w:pPr>
        <w:ind w:left="432" w:hanging="432"/>
      </w:pPr>
      <w:rPr>
        <w:rFonts w:hint="default"/>
      </w:rPr>
    </w:lvl>
    <w:lvl w:ilvl="1">
      <w:start w:val="1"/>
      <w:numFmt w:val="decimal"/>
      <w:pStyle w:val="Heading2"/>
      <w:lvlText w:val="C.%2"/>
      <w:lvlJc w:val="left"/>
      <w:pPr>
        <w:ind w:left="576" w:hanging="576"/>
      </w:pPr>
      <w:rPr>
        <w:rFonts w:hint="default"/>
      </w:rPr>
    </w:lvl>
    <w:lvl w:ilvl="2">
      <w:start w:val="1"/>
      <w:numFmt w:val="decimal"/>
      <w:pStyle w:val="Heading3"/>
      <w:lvlText w:val="C.%2.%3"/>
      <w:lvlJc w:val="left"/>
      <w:pPr>
        <w:ind w:left="720" w:hanging="720"/>
      </w:pPr>
      <w:rPr>
        <w:rFonts w:hint="default"/>
      </w:rPr>
    </w:lvl>
    <w:lvl w:ilvl="3">
      <w:start w:val="1"/>
      <w:numFmt w:val="decimal"/>
      <w:pStyle w:val="Heading4"/>
      <w:lvlText w:val="C.%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5ODM0YmMxOWJiYWQyNDU4MGIzYWRmYTA0ZmI5NDcifQ=="/>
    <w:docVar w:name="KSO_WPS_MARK_KEY" w:val="3ef17c3d-667f-46a3-9125-053365b717e7"/>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semiHidden="0" w:uiPriority="0" w:unhideWhenUsed="0" w:qFormat="1"/>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lang w:val="en-US" w:eastAsia="zh-CN" w:bidi="ar-SA"/>
    </w:rPr>
  </w:style>
  <w:style w:type="paragraph" w:styleId="Heading1">
    <w:name w:val="heading 1"/>
    <w:basedOn w:val="Normal"/>
    <w:next w:val="Normal"/>
    <w:link w:val="1"/>
    <w:qFormat/>
    <w:pPr>
      <w:numPr>
        <w:ilvl w:val="0"/>
        <w:numId w:val="1"/>
      </w:numPr>
      <w:spacing w:beforeLines="50" w:afterLines="50"/>
      <w:outlineLvl w:val="0"/>
    </w:pPr>
    <w:rPr>
      <w:rFonts w:eastAsia="黑体"/>
      <w:bCs/>
      <w:kern w:val="44"/>
      <w:sz w:val="20"/>
      <w:szCs w:val="36"/>
      <w:lang w:val="zh-CN"/>
    </w:rPr>
  </w:style>
  <w:style w:type="paragraph" w:styleId="Heading2">
    <w:name w:val="heading 2"/>
    <w:basedOn w:val="Normal"/>
    <w:next w:val="Normal"/>
    <w:link w:val="2"/>
    <w:qFormat/>
    <w:pPr>
      <w:numPr>
        <w:ilvl w:val="1"/>
        <w:numId w:val="1"/>
      </w:numPr>
      <w:jc w:val="left"/>
      <w:outlineLvl w:val="1"/>
    </w:pPr>
    <w:rPr>
      <w:rFonts w:eastAsia="黑体"/>
      <w:bCs/>
      <w:kern w:val="0"/>
      <w:sz w:val="20"/>
      <w:szCs w:val="32"/>
      <w:lang w:val="zh-CN"/>
    </w:rPr>
  </w:style>
  <w:style w:type="paragraph" w:styleId="Heading3">
    <w:name w:val="heading 3"/>
    <w:basedOn w:val="Normal"/>
    <w:next w:val="Normal"/>
    <w:link w:val="3"/>
    <w:uiPriority w:val="9"/>
    <w:qFormat/>
    <w:pPr>
      <w:keepNext/>
      <w:keepLines/>
      <w:numPr>
        <w:ilvl w:val="2"/>
        <w:numId w:val="1"/>
      </w:numPr>
      <w:outlineLvl w:val="2"/>
    </w:pPr>
    <w:rPr>
      <w:rFonts w:ascii="Arial" w:eastAsia="黑体" w:hAnsi="Arial"/>
      <w:bCs/>
      <w:kern w:val="0"/>
      <w:sz w:val="20"/>
      <w:szCs w:val="32"/>
      <w:lang w:val="zh-CN"/>
    </w:rPr>
  </w:style>
  <w:style w:type="paragraph" w:styleId="Heading4">
    <w:name w:val="heading 4"/>
    <w:basedOn w:val="Normal"/>
    <w:next w:val="Normal"/>
    <w:link w:val="4"/>
    <w:qFormat/>
    <w:pPr>
      <w:keepNext/>
      <w:keepLines/>
      <w:numPr>
        <w:ilvl w:val="3"/>
        <w:numId w:val="1"/>
      </w:numPr>
      <w:outlineLvl w:val="3"/>
    </w:pPr>
    <w:rPr>
      <w:rFonts w:ascii="宋体" w:eastAsia="黑体" w:hAnsi="宋体"/>
      <w:bCs/>
      <w:kern w:val="0"/>
      <w:sz w:val="20"/>
      <w:szCs w:val="28"/>
      <w:lang w:val="zh-CN"/>
    </w:rPr>
  </w:style>
  <w:style w:type="paragraph" w:styleId="Heading5">
    <w:name w:val="heading 5"/>
    <w:basedOn w:val="Normal"/>
    <w:next w:val="Normal"/>
    <w:link w:val="5"/>
    <w:qFormat/>
    <w:pPr>
      <w:keepNext/>
      <w:keepLines/>
      <w:numPr>
        <w:ilvl w:val="4"/>
        <w:numId w:val="1"/>
      </w:numPr>
      <w:spacing w:before="280" w:after="290" w:line="376" w:lineRule="auto"/>
      <w:outlineLvl w:val="4"/>
    </w:pPr>
    <w:rPr>
      <w:rFonts w:ascii="Arial" w:hAnsi="Arial"/>
      <w:b/>
      <w:bCs/>
      <w:kern w:val="0"/>
      <w:sz w:val="28"/>
      <w:szCs w:val="28"/>
      <w:lang w:val="zh-CN"/>
    </w:rPr>
  </w:style>
  <w:style w:type="paragraph" w:styleId="Heading6">
    <w:name w:val="heading 6"/>
    <w:basedOn w:val="Normal"/>
    <w:next w:val="Normal"/>
    <w:link w:val="6"/>
    <w:qFormat/>
    <w:pPr>
      <w:keepNext/>
      <w:keepLines/>
      <w:numPr>
        <w:ilvl w:val="5"/>
        <w:numId w:val="1"/>
      </w:numPr>
      <w:spacing w:before="240" w:after="64" w:line="320" w:lineRule="auto"/>
      <w:outlineLvl w:val="5"/>
    </w:pPr>
    <w:rPr>
      <w:rFonts w:ascii="Arial" w:eastAsia="黑体" w:hAnsi="Arial"/>
      <w:b/>
      <w:bCs/>
      <w:kern w:val="0"/>
      <w:sz w:val="24"/>
      <w:szCs w:val="21"/>
      <w:lang w:val="zh-CN"/>
    </w:rPr>
  </w:style>
  <w:style w:type="paragraph" w:styleId="Heading7">
    <w:name w:val="heading 7"/>
    <w:basedOn w:val="Normal"/>
    <w:next w:val="Normal"/>
    <w:link w:val="7"/>
    <w:qFormat/>
    <w:pPr>
      <w:keepNext/>
      <w:keepLines/>
      <w:numPr>
        <w:ilvl w:val="6"/>
        <w:numId w:val="1"/>
      </w:numPr>
      <w:spacing w:before="240" w:after="64" w:line="320" w:lineRule="auto"/>
      <w:outlineLvl w:val="6"/>
    </w:pPr>
    <w:rPr>
      <w:rFonts w:ascii="Arial" w:hAnsi="Arial"/>
      <w:b/>
      <w:bCs/>
      <w:kern w:val="0"/>
      <w:sz w:val="24"/>
      <w:szCs w:val="21"/>
      <w:lang w:val="zh-CN"/>
    </w:rPr>
  </w:style>
  <w:style w:type="paragraph" w:styleId="Heading8">
    <w:name w:val="heading 8"/>
    <w:basedOn w:val="Normal"/>
    <w:next w:val="Normal"/>
    <w:link w:val="8"/>
    <w:qFormat/>
    <w:pPr>
      <w:keepNext/>
      <w:keepLines/>
      <w:numPr>
        <w:ilvl w:val="7"/>
        <w:numId w:val="1"/>
      </w:numPr>
      <w:spacing w:before="240" w:after="64" w:line="320" w:lineRule="auto"/>
      <w:outlineLvl w:val="7"/>
    </w:pPr>
    <w:rPr>
      <w:rFonts w:ascii="Arial" w:eastAsia="黑体" w:hAnsi="Arial"/>
      <w:kern w:val="0"/>
      <w:sz w:val="24"/>
      <w:szCs w:val="21"/>
      <w:lang w:val="zh-CN"/>
    </w:rPr>
  </w:style>
  <w:style w:type="paragraph" w:styleId="Heading9">
    <w:name w:val="heading 9"/>
    <w:basedOn w:val="Normal"/>
    <w:next w:val="Normal"/>
    <w:link w:val="9"/>
    <w:qFormat/>
    <w:pPr>
      <w:keepNext/>
      <w:keepLines/>
      <w:numPr>
        <w:ilvl w:val="8"/>
        <w:numId w:val="1"/>
      </w:numPr>
      <w:spacing w:before="240" w:after="64" w:line="320" w:lineRule="auto"/>
      <w:outlineLvl w:val="8"/>
    </w:pPr>
    <w:rPr>
      <w:rFonts w:ascii="Arial" w:eastAsia="黑体" w:hAnsi="Arial"/>
      <w:kern w:val="0"/>
      <w:sz w:val="20"/>
      <w:szCs w:val="21"/>
      <w:lang w:val="zh-CN"/>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3">
    <w:name w:val="Body Text 3"/>
    <w:basedOn w:val="Normal"/>
    <w:link w:val="30"/>
    <w:qFormat/>
    <w:pPr>
      <w:spacing w:after="120"/>
      <w:ind w:firstLine="420"/>
    </w:pPr>
    <w:rPr>
      <w:rFonts w:ascii="Arial" w:hAnsi="Arial"/>
      <w:kern w:val="0"/>
      <w:sz w:val="16"/>
      <w:szCs w:val="16"/>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pPr>
      <w:spacing w:before="0" w:beforeAutospacing="1" w:after="0" w:afterAutospacing="1"/>
      <w:ind w:left="0" w:right="0"/>
      <w:jc w:val="left"/>
    </w:pPr>
    <w:rPr>
      <w:kern w:val="0"/>
      <w:sz w:val="24"/>
      <w:lang w:val="en-US" w:eastAsia="zh-CN"/>
    </w:rPr>
  </w:style>
  <w:style w:type="character" w:styleId="Hyperlink">
    <w:name w:val="Hyperlink"/>
    <w:basedOn w:val="DefaultParagraphFont"/>
    <w:uiPriority w:val="99"/>
    <w:semiHidden/>
    <w:unhideWhenUsed/>
    <w:qFormat/>
    <w:rPr>
      <w:color w:val="0000FF"/>
      <w:u w:val="single"/>
    </w:rPr>
  </w:style>
  <w:style w:type="character" w:customStyle="1" w:styleId="a">
    <w:name w:val="页眉 字符"/>
    <w:basedOn w:val="DefaultParagraphFont"/>
    <w:link w:val="Header"/>
    <w:uiPriority w:val="99"/>
    <w:qFormat/>
    <w:rPr>
      <w:rFonts w:ascii="Times New Roman" w:eastAsia="宋体" w:hAnsi="Times New Roman" w:cs="Times New Roman"/>
      <w:sz w:val="18"/>
      <w:szCs w:val="18"/>
    </w:rPr>
  </w:style>
  <w:style w:type="character" w:customStyle="1" w:styleId="a0">
    <w:name w:val="页脚 字符"/>
    <w:basedOn w:val="DefaultParagraphFont"/>
    <w:link w:val="Footer"/>
    <w:uiPriority w:val="99"/>
    <w:qFormat/>
    <w:rPr>
      <w:rFonts w:ascii="Times New Roman" w:eastAsia="宋体" w:hAnsi="Times New Roman" w:cs="Times New Roman"/>
      <w:sz w:val="18"/>
      <w:szCs w:val="18"/>
    </w:rPr>
  </w:style>
  <w:style w:type="character" w:customStyle="1" w:styleId="a1">
    <w:name w:val="批注框文本 字符"/>
    <w:basedOn w:val="DefaultParagraphFont"/>
    <w:link w:val="BalloonText"/>
    <w:uiPriority w:val="99"/>
    <w:semiHidden/>
    <w:qFormat/>
    <w:rPr>
      <w:rFonts w:ascii="Times New Roman" w:eastAsia="宋体" w:hAnsi="Times New Roman" w:cs="Times New Roman"/>
      <w:sz w:val="18"/>
      <w:szCs w:val="18"/>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lang w:val="en-US" w:eastAsia="zh-CN" w:bidi="ar-SA"/>
    </w:rPr>
  </w:style>
  <w:style w:type="paragraph" w:customStyle="1" w:styleId="A2">
    <w:name w:val="正文 A"/>
    <w:qFormat/>
    <w:pPr>
      <w:widowControl w:val="0"/>
      <w:jc w:val="both"/>
    </w:pPr>
    <w:rPr>
      <w:rFonts w:ascii="Times New Roman" w:eastAsia="Arial Unicode MS" w:hAnsi="Arial Unicode MS" w:cs="Arial Unicode MS"/>
      <w:color w:val="000000"/>
      <w:kern w:val="2"/>
      <w:sz w:val="21"/>
      <w:szCs w:val="21"/>
      <w:u w:color="000000"/>
      <w:lang w:val="en-US" w:eastAsia="zh-CN" w:bidi="ar-SA"/>
    </w:rPr>
  </w:style>
  <w:style w:type="character" w:customStyle="1" w:styleId="1">
    <w:name w:val="标题 1 字符"/>
    <w:basedOn w:val="DefaultParagraphFont"/>
    <w:link w:val="Heading1"/>
    <w:qFormat/>
    <w:rPr>
      <w:rFonts w:ascii="Times New Roman" w:eastAsia="黑体" w:hAnsi="Times New Roman" w:cs="Times New Roman"/>
      <w:bCs/>
      <w:kern w:val="44"/>
      <w:sz w:val="20"/>
      <w:szCs w:val="36"/>
      <w:lang w:val="zh-CN" w:eastAsia="zh-CN"/>
    </w:rPr>
  </w:style>
  <w:style w:type="character" w:customStyle="1" w:styleId="2">
    <w:name w:val="标题 2 字符"/>
    <w:basedOn w:val="DefaultParagraphFont"/>
    <w:link w:val="Heading2"/>
    <w:qFormat/>
    <w:rPr>
      <w:rFonts w:ascii="Times New Roman" w:eastAsia="黑体" w:hAnsi="Times New Roman" w:cs="Times New Roman"/>
      <w:bCs/>
      <w:kern w:val="0"/>
      <w:sz w:val="20"/>
      <w:szCs w:val="32"/>
      <w:lang w:val="zh-CN" w:eastAsia="zh-CN"/>
    </w:rPr>
  </w:style>
  <w:style w:type="character" w:customStyle="1" w:styleId="3">
    <w:name w:val="标题 3 字符"/>
    <w:basedOn w:val="DefaultParagraphFont"/>
    <w:link w:val="Heading3"/>
    <w:uiPriority w:val="9"/>
    <w:qFormat/>
    <w:rPr>
      <w:rFonts w:ascii="Arial" w:eastAsia="黑体" w:hAnsi="Arial" w:cs="Times New Roman"/>
      <w:bCs/>
      <w:kern w:val="0"/>
      <w:sz w:val="20"/>
      <w:szCs w:val="32"/>
      <w:lang w:val="zh-CN" w:eastAsia="zh-CN"/>
    </w:rPr>
  </w:style>
  <w:style w:type="character" w:customStyle="1" w:styleId="4">
    <w:name w:val="标题 4 字符"/>
    <w:basedOn w:val="DefaultParagraphFont"/>
    <w:link w:val="Heading4"/>
    <w:qFormat/>
    <w:rPr>
      <w:rFonts w:ascii="宋体" w:eastAsia="黑体" w:hAnsi="宋体" w:cs="Times New Roman"/>
      <w:bCs/>
      <w:kern w:val="0"/>
      <w:sz w:val="20"/>
      <w:szCs w:val="28"/>
      <w:lang w:val="zh-CN" w:eastAsia="zh-CN"/>
    </w:rPr>
  </w:style>
  <w:style w:type="character" w:customStyle="1" w:styleId="5">
    <w:name w:val="标题 5 字符"/>
    <w:basedOn w:val="DefaultParagraphFont"/>
    <w:link w:val="Heading5"/>
    <w:qFormat/>
    <w:rPr>
      <w:rFonts w:ascii="Arial" w:eastAsia="宋体" w:hAnsi="Arial" w:cs="Times New Roman"/>
      <w:b/>
      <w:bCs/>
      <w:kern w:val="0"/>
      <w:sz w:val="28"/>
      <w:szCs w:val="28"/>
      <w:lang w:val="zh-CN" w:eastAsia="zh-CN"/>
    </w:rPr>
  </w:style>
  <w:style w:type="character" w:customStyle="1" w:styleId="6">
    <w:name w:val="标题 6 字符"/>
    <w:basedOn w:val="DefaultParagraphFont"/>
    <w:link w:val="Heading6"/>
    <w:qFormat/>
    <w:rPr>
      <w:rFonts w:ascii="Arial" w:eastAsia="黑体" w:hAnsi="Arial" w:cs="Times New Roman"/>
      <w:b/>
      <w:bCs/>
      <w:kern w:val="0"/>
      <w:sz w:val="24"/>
      <w:szCs w:val="21"/>
      <w:lang w:val="zh-CN" w:eastAsia="zh-CN"/>
    </w:rPr>
  </w:style>
  <w:style w:type="character" w:customStyle="1" w:styleId="7">
    <w:name w:val="标题 7 字符"/>
    <w:basedOn w:val="DefaultParagraphFont"/>
    <w:link w:val="Heading7"/>
    <w:qFormat/>
    <w:rPr>
      <w:rFonts w:ascii="Arial" w:eastAsia="宋体" w:hAnsi="Arial" w:cs="Times New Roman"/>
      <w:b/>
      <w:bCs/>
      <w:kern w:val="0"/>
      <w:sz w:val="24"/>
      <w:szCs w:val="21"/>
      <w:lang w:val="zh-CN" w:eastAsia="zh-CN"/>
    </w:rPr>
  </w:style>
  <w:style w:type="character" w:customStyle="1" w:styleId="8">
    <w:name w:val="标题 8 字符"/>
    <w:basedOn w:val="DefaultParagraphFont"/>
    <w:link w:val="Heading8"/>
    <w:qFormat/>
    <w:rPr>
      <w:rFonts w:ascii="Arial" w:eastAsia="黑体" w:hAnsi="Arial" w:cs="Times New Roman"/>
      <w:kern w:val="0"/>
      <w:sz w:val="24"/>
      <w:szCs w:val="21"/>
      <w:lang w:val="zh-CN" w:eastAsia="zh-CN"/>
    </w:rPr>
  </w:style>
  <w:style w:type="character" w:customStyle="1" w:styleId="9">
    <w:name w:val="标题 9 字符"/>
    <w:basedOn w:val="DefaultParagraphFont"/>
    <w:link w:val="Heading9"/>
    <w:qFormat/>
    <w:rPr>
      <w:rFonts w:ascii="Arial" w:eastAsia="黑体" w:hAnsi="Arial" w:cs="Times New Roman"/>
      <w:kern w:val="0"/>
      <w:sz w:val="20"/>
      <w:szCs w:val="21"/>
      <w:lang w:val="zh-CN" w:eastAsia="zh-CN"/>
    </w:rPr>
  </w:style>
  <w:style w:type="character" w:customStyle="1" w:styleId="Char">
    <w:name w:val="表格正文 Char"/>
    <w:link w:val="a3"/>
    <w:qFormat/>
    <w:rPr>
      <w:rFonts w:ascii="宋体" w:eastAsia="宋体" w:hAnsi="宋体" w:cs="Times New Roman"/>
      <w:bCs/>
      <w:kern w:val="0"/>
      <w:sz w:val="20"/>
      <w:szCs w:val="20"/>
    </w:rPr>
  </w:style>
  <w:style w:type="paragraph" w:customStyle="1" w:styleId="a3">
    <w:name w:val="表格正文"/>
    <w:basedOn w:val="Normal"/>
    <w:link w:val="Char"/>
    <w:qFormat/>
    <w:pPr>
      <w:framePr w:hSpace="180" w:wrap="around" w:vAnchor="text" w:hAnchor="page" w:x="1736" w:y="1094"/>
      <w:widowControl/>
      <w:overflowPunct w:val="0"/>
      <w:autoSpaceDE w:val="0"/>
      <w:autoSpaceDN w:val="0"/>
      <w:adjustRightInd w:val="0"/>
      <w:spacing w:before="60" w:afterLines="50" w:line="400" w:lineRule="exact"/>
      <w:ind w:firstLine="420"/>
      <w:textAlignment w:val="baseline"/>
    </w:pPr>
    <w:rPr>
      <w:rFonts w:ascii="宋体" w:hAnsi="宋体"/>
      <w:bCs/>
      <w:kern w:val="0"/>
      <w:sz w:val="20"/>
    </w:rPr>
  </w:style>
  <w:style w:type="character" w:customStyle="1" w:styleId="30">
    <w:name w:val="正文文本 3 字符"/>
    <w:link w:val="BodyText3"/>
    <w:qFormat/>
    <w:rPr>
      <w:rFonts w:ascii="Arial" w:eastAsia="宋体" w:hAnsi="Arial" w:cs="Times New Roman"/>
      <w:kern w:val="0"/>
      <w:sz w:val="16"/>
      <w:szCs w:val="16"/>
    </w:rPr>
  </w:style>
  <w:style w:type="character" w:customStyle="1" w:styleId="3Char1">
    <w:name w:val="正文文本 3 Char1"/>
    <w:basedOn w:val="DefaultParagraphFont"/>
    <w:uiPriority w:val="99"/>
    <w:semiHidden/>
    <w:qFormat/>
    <w:rPr>
      <w:rFonts w:ascii="Times New Roman" w:eastAsia="宋体"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12</TotalTime>
  <Pages>3</Pages>
  <Words>731</Words>
  <Characters>777</Characters>
  <Application>Microsoft Office Word</Application>
  <DocSecurity>0</DocSecurity>
  <Lines>15</Lines>
  <Paragraphs>4</Paragraphs>
  <ScaleCrop>false</ScaleCrop>
  <Company/>
  <LinksUpToDate>false</LinksUpToDate>
  <CharactersWithSpaces>1010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SkyUN.Org</dc:creator>
  <cp:lastModifiedBy>郝宇</cp:lastModifiedBy>
  <cp:revision>55</cp:revision>
  <cp:lastPrinted>2021-03-19T10:57:00Z</cp:lastPrinted>
  <dcterms:created xsi:type="dcterms:W3CDTF">2016-12-07T01:58:00Z</dcterms:created>
  <dcterms:modified xsi:type="dcterms:W3CDTF">2026-09-04T15:51:53Z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5B1A30B67FF84550865C939F57C4C48E_13</vt:lpwstr>
  </property>
  <property fmtid="{D5CDD505-2E9C-101B-9397-08002B2CF9AE}" pid="3" name="KSOProductBuildVer">
    <vt:lpwstr>2052-12.1.0.28505</vt:lpwstr>
  </property>
  <property fmtid="{D5CDD505-2E9C-101B-9397-08002B2CF9AE}" pid="4" name="KSOTemplateDocerSaveRecord">
    <vt:lpwstr>eyJoZGlkIjoiYjk5ODM0YmMxOWJiYWQyNDU4MGIzYWRmYTA0ZmI5NDciLCJ1c2VySWQiOiIxMDc1MzgyOSJ9</vt:lpwstr>
  </property>
</Properties>
</file>