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F57797">
      <w:pPr>
        <w:pStyle w:val="25"/>
        <w:bidi w:val="0"/>
        <w:rPr>
          <w:rFonts w:hint="eastAsia"/>
          <w:lang w:val="en-US" w:eastAsia="zh-CN"/>
        </w:rPr>
      </w:pPr>
      <w:bookmarkStart w:id="0" w:name="_Toc6353"/>
      <w:bookmarkStart w:id="1" w:name="_Toc3156"/>
      <w:r>
        <w:rPr>
          <w:rFonts w:hint="eastAsia"/>
          <w:lang w:val="en-US" w:eastAsia="zh-CN"/>
        </w:rPr>
        <w:t>‌数飞科技(宁波)有限公司</w:t>
      </w:r>
      <w:bookmarkEnd w:id="0"/>
      <w:bookmarkEnd w:id="1"/>
    </w:p>
    <w:p w14:paraId="156E486E">
      <w:pPr>
        <w:pStyle w:val="26"/>
        <w:bidi w:val="0"/>
        <w:rPr>
          <w:rFonts w:hint="eastAsia"/>
          <w:lang w:val="en-US" w:eastAsia="zh-CN"/>
        </w:rPr>
      </w:pPr>
      <w:bookmarkStart w:id="2" w:name="_Toc1198"/>
      <w:bookmarkStart w:id="3" w:name="_Toc10664"/>
      <w:r>
        <w:rPr>
          <w:rFonts w:hint="eastAsia"/>
          <w:lang w:val="en-US" w:eastAsia="zh-CN"/>
        </w:rPr>
        <w:t>组织级运维服务目录</w:t>
      </w:r>
      <w:bookmarkEnd w:id="2"/>
      <w:bookmarkEnd w:id="3"/>
    </w:p>
    <w:tbl>
      <w:tblPr>
        <w:tblStyle w:val="21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8DE0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05F8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16B74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SFKJ-ITSS-0102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17221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AD88F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70BC99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34255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B7BFFF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60A09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1E150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5D44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209BC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7B2A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3C3A6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C66AA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2A2B9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DC0EA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70CA0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159B0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BC7E2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2D334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EE6E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F2FD5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07D22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3CE0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35460E3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2B12077">
      <w:pPr>
        <w:pStyle w:val="2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文档修订信息</w:t>
      </w:r>
    </w:p>
    <w:tbl>
      <w:tblPr>
        <w:tblStyle w:val="21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23895C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07F52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0494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AA11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888A5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8A79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691B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98FA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C0AA6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222A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CA60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13AE7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52351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1B8AF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9E106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87CD9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FBFDB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8D3CC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BFA3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9D0A9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5B703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D4770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7EA45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BF84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385DE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8B035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EEDF9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EFAFC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509E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C8F00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42D8647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3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9BE60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_Toc4510"/>
          <w:r>
            <w:rPr>
              <w:rFonts w:ascii="宋体" w:hAnsi="宋体" w:eastAsia="宋体"/>
              <w:sz w:val="21"/>
            </w:rPr>
            <w:t>目录</w:t>
          </w:r>
        </w:p>
        <w:p w14:paraId="283D982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_Toc6353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‌数飞科技(宁波)有限公司</w:t>
          </w:r>
          <w:r>
            <w:tab/>
          </w:r>
          <w:r>
            <w:fldChar w:fldCharType="begin"/>
          </w:r>
          <w:r>
            <w:instrText xml:space="preserve"> PAGEREF _Toc6353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C38816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_Toc1198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D06FE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_Toc28413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26D8C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公司服务目录表汇总</w:t>
          </w:r>
          <w:r>
            <w:tab/>
          </w:r>
          <w:r>
            <w:fldChar w:fldCharType="begin"/>
          </w:r>
          <w:r>
            <w:instrText xml:space="preserve"> PAGEREF _Toc25355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77781C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基础环境运维服务</w:t>
          </w:r>
          <w:r>
            <w:tab/>
          </w:r>
          <w:r>
            <w:fldChar w:fldCharType="begin"/>
          </w:r>
          <w:r>
            <w:instrText xml:space="preserve"> PAGEREF _Toc30692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6493E5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硬件运维服务</w:t>
          </w:r>
          <w:r>
            <w:tab/>
          </w:r>
          <w:r>
            <w:fldChar w:fldCharType="begin"/>
          </w:r>
          <w:r>
            <w:instrText xml:space="preserve"> PAGEREF _Toc2176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3C51C8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软件运维服务</w:t>
          </w:r>
          <w:r>
            <w:tab/>
          </w:r>
          <w:r>
            <w:fldChar w:fldCharType="begin"/>
          </w:r>
          <w:r>
            <w:instrText xml:space="preserve"> PAGEREF _Toc17060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02DF31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_Toc1021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3BC1D92">
          <w:pPr>
            <w:rPr>
              <w:rFonts w:ascii="宋体" w:hAnsi="宋体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60EEB959">
      <w:p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 w14:paraId="6CA65FA7">
      <w:p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 w14:paraId="3B803384">
      <w: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bookmarkEnd w:id="4"/>
    <w:p w14:paraId="0A2C20CB">
      <w:pPr>
        <w:pStyle w:val="29"/>
        <w:bidi w:val="0"/>
        <w:rPr>
          <w:rFonts w:hint="eastAsia"/>
          <w:sz w:val="24"/>
          <w:szCs w:val="24"/>
          <w:lang w:val="en-US" w:eastAsia="zh-CN"/>
        </w:rPr>
      </w:pPr>
      <w:bookmarkStart w:id="5" w:name="_Toc28413"/>
      <w:r>
        <w:rPr>
          <w:rFonts w:hint="eastAsia"/>
          <w:sz w:val="24"/>
          <w:szCs w:val="24"/>
          <w:lang w:val="en-US" w:eastAsia="zh-CN"/>
        </w:rPr>
        <w:t>术语和定义</w:t>
      </w:r>
      <w:bookmarkEnd w:id="5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7"/>
        <w:gridCol w:w="2019"/>
        <w:gridCol w:w="2805"/>
        <w:gridCol w:w="2471"/>
      </w:tblGrid>
      <w:tr w14:paraId="3FC72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2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02186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服务目录标题</w:t>
            </w:r>
          </w:p>
        </w:tc>
        <w:tc>
          <w:tcPr>
            <w:tcW w:w="20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B08C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解释说明</w:t>
            </w:r>
          </w:p>
        </w:tc>
        <w:tc>
          <w:tcPr>
            <w:tcW w:w="28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3C63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内容说明</w:t>
            </w:r>
          </w:p>
        </w:tc>
        <w:tc>
          <w:tcPr>
            <w:tcW w:w="24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36C5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设计依据</w:t>
            </w:r>
          </w:p>
        </w:tc>
      </w:tr>
      <w:tr w14:paraId="5A7DBE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AA8F9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服务类别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C795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定义向客户提供的总体服务种类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6C61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分类为:基础环境运维服务/硬件运维服务/软件运维服务等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61E74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基于GB/T 29264标准，从整体上定义服务类别</w:t>
            </w:r>
          </w:p>
        </w:tc>
      </w:tr>
      <w:tr w14:paraId="53EAC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649FA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服务范围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9014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特指服务项下所界定的服务范围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6524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如“硬件运维服务”下包括网络运维、主机运维、桌面运维等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8C748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从服务销售与购买的角度，需界定明确的服务范围</w:t>
            </w:r>
          </w:p>
        </w:tc>
      </w:tr>
      <w:tr w14:paraId="0A38A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88128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服务子类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475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对总体服务种类进行更细的分类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9490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如:网络巡检服务/网络响应支持/网络优化改善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65AFC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基于GB/T 29264标准，细化服务类别</w:t>
            </w:r>
          </w:p>
        </w:tc>
      </w:tr>
      <w:tr w14:paraId="2E4CF0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AD04F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服务名称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244F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服务子类的具体名称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1BF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如:网络设备巡检服务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1A6F0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对服务子类的具体名称描述</w:t>
            </w:r>
          </w:p>
        </w:tc>
      </w:tr>
      <w:tr w14:paraId="6BABA1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F5037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服务对象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41C8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接受服务的具体设备或系统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F9F0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如:路由器、交换机、服务器、桌面设备等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430DB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明确服务的具体对象</w:t>
            </w:r>
          </w:p>
        </w:tc>
      </w:tr>
      <w:tr w14:paraId="53273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3C0EE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服务简介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AF88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针对服务范围内的服务所提供的具体服务活动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C936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如:对网络设备进行定期巡检、状态监控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C446D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服务产品的内容组成</w:t>
            </w:r>
          </w:p>
        </w:tc>
      </w:tr>
      <w:tr w14:paraId="63D1B0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C89CB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服务方式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3C66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定义向客户提供的服务支持方式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1627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如:现场/远程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7BC5C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便于客户了解服务交付所提供的支持方式</w:t>
            </w:r>
          </w:p>
        </w:tc>
      </w:tr>
      <w:tr w14:paraId="1059F2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A2076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服务级别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5A93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定义向客户提供的服务级别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6DAA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分类为:高SLA-A/中SLA-B/低SLA-C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0E218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不同级别的服务产品对应不同的服务承诺与资源投入</w:t>
            </w:r>
          </w:p>
        </w:tc>
      </w:tr>
      <w:tr w14:paraId="08E1E3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E7AA6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交付成果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5547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服务完成后提交的文档或记录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2B77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如:巡检单、服务报告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F8A24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明确服务交付物</w:t>
            </w:r>
          </w:p>
        </w:tc>
      </w:tr>
    </w:tbl>
    <w:p w14:paraId="7D01986D">
      <w:pPr>
        <w:pStyle w:val="29"/>
        <w:bidi w:val="0"/>
        <w:rPr>
          <w:rFonts w:hint="eastAsia"/>
          <w:sz w:val="24"/>
          <w:szCs w:val="24"/>
          <w:lang w:val="en-US" w:eastAsia="zh-CN"/>
        </w:rPr>
      </w:pPr>
      <w:bookmarkStart w:id="6" w:name="_Toc25355"/>
      <w:r>
        <w:rPr>
          <w:rFonts w:hint="eastAsia"/>
          <w:sz w:val="24"/>
          <w:szCs w:val="24"/>
          <w:lang w:val="en-US" w:eastAsia="zh-CN"/>
        </w:rPr>
        <w:t>公司服务目录表汇总</w:t>
      </w:r>
      <w:bookmarkEnd w:id="6"/>
    </w:p>
    <w:p w14:paraId="7F60EB83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br w:type="page"/>
      </w:r>
    </w:p>
    <w:p w14:paraId="66D0767A">
      <w:pPr>
        <w:pStyle w:val="30"/>
        <w:rPr>
          <w:rFonts w:hint="eastAsia"/>
          <w:lang w:val="en-US" w:eastAsia="zh-CN"/>
        </w:rPr>
      </w:pPr>
    </w:p>
    <w:p w14:paraId="6229237C">
      <w:pPr>
        <w:pStyle w:val="31"/>
        <w:bidi w:val="0"/>
        <w:rPr>
          <w:rFonts w:hint="eastAsia"/>
          <w:sz w:val="18"/>
          <w:szCs w:val="18"/>
          <w:lang w:val="en-US" w:eastAsia="zh-CN"/>
        </w:rPr>
      </w:pPr>
      <w:bookmarkStart w:id="7" w:name="_Toc30692"/>
      <w:r>
        <w:rPr>
          <w:rFonts w:hint="eastAsia"/>
          <w:sz w:val="18"/>
          <w:szCs w:val="18"/>
          <w:lang w:val="en-US" w:eastAsia="zh-CN"/>
        </w:rPr>
        <w:t>基础环境运维服务</w:t>
      </w:r>
      <w:bookmarkEnd w:id="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65"/>
        <w:gridCol w:w="2391"/>
        <w:gridCol w:w="1209"/>
        <w:gridCol w:w="2331"/>
      </w:tblGrid>
      <w:tr w14:paraId="4DD41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65" w:type="dxa"/>
            <w:shd w:val="clear" w:color="auto" w:fill="CFCECE" w:themeFill="background2" w:themeFillShade="E5"/>
            <w:vAlign w:val="center"/>
          </w:tcPr>
          <w:p w14:paraId="5C53F8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bookmarkStart w:id="8" w:name="_Toc2176"/>
            <w:bookmarkStart w:id="11" w:name="_GoBack" w:colFirst="0" w:colLast="3"/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391" w:type="dxa"/>
            <w:shd w:val="clear" w:color="auto" w:fill="CFCECE" w:themeFill="background2" w:themeFillShade="E5"/>
            <w:vAlign w:val="center"/>
          </w:tcPr>
          <w:p w14:paraId="1E631E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1209" w:type="dxa"/>
            <w:shd w:val="clear" w:color="auto" w:fill="CFCECE" w:themeFill="background2" w:themeFillShade="E5"/>
            <w:vAlign w:val="center"/>
          </w:tcPr>
          <w:p w14:paraId="50D16A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331" w:type="dxa"/>
            <w:shd w:val="clear" w:color="auto" w:fill="CFCECE" w:themeFill="background2" w:themeFillShade="E5"/>
            <w:vAlign w:val="center"/>
          </w:tcPr>
          <w:p w14:paraId="7344B8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bookmarkEnd w:id="11"/>
      <w:tr w14:paraId="1FBB0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65" w:type="dxa"/>
            <w:vMerge w:val="restart"/>
          </w:tcPr>
          <w:p w14:paraId="1C52A2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基础环境运维服务(0401)</w:t>
            </w:r>
          </w:p>
        </w:tc>
        <w:tc>
          <w:tcPr>
            <w:tcW w:w="2391" w:type="dxa"/>
            <w:vMerge w:val="restart"/>
            <w:shd w:val="clear" w:color="auto" w:fill="auto"/>
            <w:vAlign w:val="center"/>
          </w:tcPr>
          <w:p w14:paraId="70C519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基础环境运维服务(0401)</w:t>
            </w:r>
          </w:p>
        </w:tc>
        <w:tc>
          <w:tcPr>
            <w:tcW w:w="1209" w:type="dxa"/>
            <w:shd w:val="clear" w:color="auto" w:fill="auto"/>
            <w:vAlign w:val="center"/>
          </w:tcPr>
          <w:p w14:paraId="5BB4AD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0401-01</w:t>
            </w:r>
          </w:p>
        </w:tc>
        <w:tc>
          <w:tcPr>
            <w:tcW w:w="2331" w:type="dxa"/>
            <w:shd w:val="clear" w:color="auto" w:fill="auto"/>
            <w:vAlign w:val="center"/>
          </w:tcPr>
          <w:p w14:paraId="3982DB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基础环境巡检服务</w:t>
            </w:r>
          </w:p>
        </w:tc>
      </w:tr>
      <w:tr w14:paraId="62653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76" w:hRule="atLeast"/>
        </w:trPr>
        <w:tc>
          <w:tcPr>
            <w:tcW w:w="2365" w:type="dxa"/>
            <w:vMerge w:val="continue"/>
            <w:tcBorders/>
          </w:tcPr>
          <w:p w14:paraId="4AEEF9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</w:p>
        </w:tc>
        <w:tc>
          <w:tcPr>
            <w:tcW w:w="2391" w:type="dxa"/>
            <w:vMerge w:val="continue"/>
            <w:tcBorders/>
          </w:tcPr>
          <w:p w14:paraId="064890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</w:p>
        </w:tc>
        <w:tc>
          <w:tcPr>
            <w:tcW w:w="1209" w:type="dxa"/>
            <w:shd w:val="clear" w:color="auto" w:fill="auto"/>
            <w:vAlign w:val="center"/>
          </w:tcPr>
          <w:p w14:paraId="37D3D9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0401-02</w:t>
            </w:r>
          </w:p>
        </w:tc>
        <w:tc>
          <w:tcPr>
            <w:tcW w:w="2331" w:type="dxa"/>
            <w:shd w:val="clear" w:color="auto" w:fill="auto"/>
            <w:vAlign w:val="center"/>
          </w:tcPr>
          <w:p w14:paraId="2DBB1A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基础环境响应支持服务</w:t>
            </w:r>
          </w:p>
        </w:tc>
      </w:tr>
      <w:tr w14:paraId="47A15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65" w:type="dxa"/>
            <w:vMerge w:val="continue"/>
            <w:tcBorders/>
          </w:tcPr>
          <w:p w14:paraId="04A34A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</w:p>
        </w:tc>
        <w:tc>
          <w:tcPr>
            <w:tcW w:w="2391" w:type="dxa"/>
            <w:vMerge w:val="continue"/>
            <w:tcBorders/>
          </w:tcPr>
          <w:p w14:paraId="372EFF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</w:p>
        </w:tc>
        <w:tc>
          <w:tcPr>
            <w:tcW w:w="1209" w:type="dxa"/>
            <w:shd w:val="clear" w:color="auto" w:fill="auto"/>
            <w:vAlign w:val="center"/>
          </w:tcPr>
          <w:p w14:paraId="34E0C0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0401-03</w:t>
            </w:r>
          </w:p>
        </w:tc>
        <w:tc>
          <w:tcPr>
            <w:tcW w:w="2331" w:type="dxa"/>
            <w:shd w:val="clear" w:color="auto" w:fill="auto"/>
            <w:vAlign w:val="center"/>
          </w:tcPr>
          <w:p w14:paraId="775C9E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基础环境优化改善服务</w:t>
            </w:r>
          </w:p>
        </w:tc>
      </w:tr>
    </w:tbl>
    <w:p w14:paraId="0C8708D2">
      <w:pPr>
        <w:pStyle w:val="31"/>
        <w:bidi w:val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硬件运维服务</w:t>
      </w:r>
      <w:bookmarkEnd w:id="8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074"/>
        <w:gridCol w:w="2074"/>
        <w:gridCol w:w="2074"/>
        <w:gridCol w:w="2074"/>
      </w:tblGrid>
      <w:tr w14:paraId="4649B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shd w:val="clear" w:color="auto" w:fill="CFCECE" w:themeFill="background2" w:themeFillShade="E5"/>
            <w:vAlign w:val="center"/>
          </w:tcPr>
          <w:p w14:paraId="3C6AF0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074" w:type="dxa"/>
            <w:shd w:val="clear" w:color="auto" w:fill="CFCECE" w:themeFill="background2" w:themeFillShade="E5"/>
            <w:vAlign w:val="center"/>
          </w:tcPr>
          <w:p w14:paraId="2E6101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2074" w:type="dxa"/>
            <w:shd w:val="clear" w:color="auto" w:fill="CFCECE" w:themeFill="background2" w:themeFillShade="E5"/>
            <w:vAlign w:val="center"/>
          </w:tcPr>
          <w:p w14:paraId="34CDFE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074" w:type="dxa"/>
            <w:shd w:val="clear" w:color="auto" w:fill="CFCECE" w:themeFill="background2" w:themeFillShade="E5"/>
            <w:vAlign w:val="center"/>
          </w:tcPr>
          <w:p w14:paraId="02137B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tr w14:paraId="2E569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restart"/>
          </w:tcPr>
          <w:p w14:paraId="32B2708C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restart"/>
            <w:shd w:val="clear" w:color="auto" w:fill="auto"/>
            <w:vAlign w:val="center"/>
          </w:tcPr>
          <w:p w14:paraId="5ACF6B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网络运维服务(040201)</w:t>
            </w:r>
          </w:p>
          <w:p w14:paraId="77978BB7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08ACD5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040201-01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411BAF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网络设备巡检服务</w:t>
            </w:r>
          </w:p>
        </w:tc>
      </w:tr>
      <w:tr w14:paraId="175CA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58FDBF75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continue"/>
            <w:tcBorders/>
          </w:tcPr>
          <w:p w14:paraId="34CC9B26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690458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040201-02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7A6277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网络设备响应支持服务</w:t>
            </w:r>
          </w:p>
        </w:tc>
      </w:tr>
      <w:tr w14:paraId="128D9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4BBBCEC5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continue"/>
            <w:tcBorders/>
          </w:tcPr>
          <w:p w14:paraId="35C471BF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17EC93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040201-03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3435F9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网络设备优化改善服务</w:t>
            </w:r>
          </w:p>
        </w:tc>
      </w:tr>
      <w:tr w14:paraId="747E0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600E98EF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restart"/>
            <w:shd w:val="clear" w:color="auto" w:fill="auto"/>
            <w:vAlign w:val="center"/>
          </w:tcPr>
          <w:p w14:paraId="176B5E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主机运维服务(040202)</w:t>
            </w:r>
          </w:p>
          <w:p w14:paraId="3972577F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7832D8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040202-01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024B96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服务器巡检服务</w:t>
            </w:r>
          </w:p>
        </w:tc>
      </w:tr>
      <w:tr w14:paraId="06CB4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2269BA4E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continue"/>
            <w:tcBorders/>
          </w:tcPr>
          <w:p w14:paraId="7E86D2E1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3DAD02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040202-02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00AA2F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服务器响应支持服务</w:t>
            </w:r>
          </w:p>
        </w:tc>
      </w:tr>
      <w:tr w14:paraId="3FE15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3C4E2C2C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continue"/>
            <w:tcBorders/>
          </w:tcPr>
          <w:p w14:paraId="464F6730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6E6233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040202-03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329872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服务器优化改善服务</w:t>
            </w:r>
          </w:p>
        </w:tc>
      </w:tr>
      <w:tr w14:paraId="7D2DC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0A2492D0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restart"/>
            <w:shd w:val="clear" w:color="auto" w:fill="auto"/>
            <w:vAlign w:val="center"/>
          </w:tcPr>
          <w:p w14:paraId="6F0C69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桌面运维服务(040204)</w:t>
            </w:r>
          </w:p>
          <w:p w14:paraId="4DA214EA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6C4C5F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040204-01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53D098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桌面设备巡检服务</w:t>
            </w:r>
          </w:p>
        </w:tc>
      </w:tr>
      <w:tr w14:paraId="76247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370A9AC0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continue"/>
            <w:tcBorders/>
          </w:tcPr>
          <w:p w14:paraId="7E5394DB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3DDFF4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040204-02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4DA03C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桌面设备响应支持服务</w:t>
            </w:r>
          </w:p>
        </w:tc>
      </w:tr>
      <w:tr w14:paraId="4BD7B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4F1E0163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continue"/>
            <w:tcBorders/>
          </w:tcPr>
          <w:p w14:paraId="29C8349E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68F874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040204-03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538A1B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桌面设备优化改善服务</w:t>
            </w:r>
          </w:p>
        </w:tc>
      </w:tr>
      <w:tr w14:paraId="42FD6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1DF19A93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restart"/>
            <w:shd w:val="clear" w:color="auto" w:fill="auto"/>
            <w:vAlign w:val="center"/>
          </w:tcPr>
          <w:p w14:paraId="2B37A0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其他硬件运维服务(040299)</w:t>
            </w:r>
          </w:p>
          <w:p w14:paraId="76218D40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50CB50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040299-01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4804AE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其他硬件巡检服务</w:t>
            </w:r>
          </w:p>
        </w:tc>
      </w:tr>
      <w:tr w14:paraId="328DB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36B96ED7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continue"/>
            <w:tcBorders/>
          </w:tcPr>
          <w:p w14:paraId="6E481DE5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6419BA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040299-02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27AA19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其他硬件响应支持服务</w:t>
            </w:r>
          </w:p>
        </w:tc>
      </w:tr>
      <w:tr w14:paraId="0ECC8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74" w:type="dxa"/>
            <w:vMerge w:val="continue"/>
            <w:tcBorders/>
          </w:tcPr>
          <w:p w14:paraId="76834D21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vMerge w:val="continue"/>
            <w:tcBorders/>
          </w:tcPr>
          <w:p w14:paraId="74FDAEAB">
            <w:pPr>
              <w:pStyle w:val="3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74" w:type="dxa"/>
            <w:shd w:val="clear" w:color="auto" w:fill="auto"/>
            <w:vAlign w:val="center"/>
          </w:tcPr>
          <w:p w14:paraId="1F5784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040299-03</w:t>
            </w:r>
          </w:p>
        </w:tc>
        <w:tc>
          <w:tcPr>
            <w:tcW w:w="2074" w:type="dxa"/>
            <w:shd w:val="clear" w:color="auto" w:fill="auto"/>
            <w:vAlign w:val="center"/>
          </w:tcPr>
          <w:p w14:paraId="2DDA8D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其他硬件优化改善服务</w:t>
            </w:r>
          </w:p>
        </w:tc>
      </w:tr>
    </w:tbl>
    <w:p w14:paraId="4A485497">
      <w:pPr>
        <w:pStyle w:val="31"/>
        <w:bidi w:val="0"/>
        <w:rPr>
          <w:rFonts w:hint="default"/>
          <w:sz w:val="18"/>
          <w:szCs w:val="18"/>
          <w:lang w:val="en-US" w:eastAsia="zh-CN"/>
        </w:rPr>
      </w:pPr>
      <w:bookmarkStart w:id="9" w:name="_Toc17060"/>
      <w:r>
        <w:rPr>
          <w:rFonts w:hint="eastAsia"/>
          <w:sz w:val="18"/>
          <w:szCs w:val="18"/>
          <w:lang w:val="en-US" w:eastAsia="zh-CN"/>
        </w:rPr>
        <w:t>软件运维服务</w:t>
      </w:r>
      <w:bookmarkEnd w:id="9"/>
    </w:p>
    <w:tbl>
      <w:tblPr>
        <w:tblStyle w:val="20"/>
        <w:tblW w:w="85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5"/>
        <w:gridCol w:w="2698"/>
        <w:gridCol w:w="1666"/>
        <w:gridCol w:w="2344"/>
      </w:tblGrid>
      <w:tr w14:paraId="495A0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3B86C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6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7676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16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D19E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3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F24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tr w14:paraId="76AC30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CD228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软件运维服务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(0403)</w:t>
            </w:r>
          </w:p>
        </w:tc>
        <w:tc>
          <w:tcPr>
            <w:tcW w:w="2698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9236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应用软件运维服务(040303)</w:t>
            </w: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5435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-01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FD5B7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例行操作</w:t>
            </w:r>
          </w:p>
        </w:tc>
      </w:tr>
      <w:tr w14:paraId="798ED4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3E0A15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03410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FD6A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-02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CCB6D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响应支持</w:t>
            </w:r>
          </w:p>
        </w:tc>
      </w:tr>
      <w:tr w14:paraId="26E74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2C8A3D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5C80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AB55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-03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ED8A0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优化改善</w:t>
            </w:r>
          </w:p>
        </w:tc>
      </w:tr>
      <w:tr w14:paraId="448CDC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39D695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A25B9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FB45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040303-01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D4B9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例行操作</w:t>
            </w:r>
          </w:p>
        </w:tc>
      </w:tr>
      <w:tr w14:paraId="67F1A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B898ED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090F2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25E2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040303-02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19B0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响应支持</w:t>
            </w:r>
          </w:p>
        </w:tc>
      </w:tr>
      <w:tr w14:paraId="4C794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E23110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tcBorders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26ED5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893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040303-03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4DDC0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优化改善</w:t>
            </w:r>
          </w:p>
        </w:tc>
      </w:tr>
    </w:tbl>
    <w:p w14:paraId="1ED4E3F0">
      <w:pPr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0491C859">
      <w:pPr>
        <w:pStyle w:val="29"/>
        <w:bidi w:val="0"/>
        <w:rPr>
          <w:rFonts w:hint="eastAsia"/>
          <w:sz w:val="24"/>
          <w:szCs w:val="24"/>
          <w:lang w:val="en-US" w:eastAsia="zh-CN"/>
        </w:rPr>
      </w:pPr>
      <w:bookmarkStart w:id="10" w:name="_Toc1021"/>
      <w:r>
        <w:rPr>
          <w:rFonts w:hint="eastAsia"/>
          <w:sz w:val="24"/>
          <w:szCs w:val="24"/>
          <w:lang w:val="en-US" w:eastAsia="zh-CN"/>
        </w:rPr>
        <w:t>组织级运维服务目录</w:t>
      </w:r>
      <w:bookmarkEnd w:id="10"/>
    </w:p>
    <w:tbl>
      <w:tblPr>
        <w:tblStyle w:val="20"/>
        <w:tblW w:w="141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1415"/>
        <w:gridCol w:w="1198"/>
        <w:gridCol w:w="1332"/>
        <w:gridCol w:w="2234"/>
        <w:gridCol w:w="2920"/>
        <w:gridCol w:w="825"/>
        <w:gridCol w:w="2763"/>
        <w:gridCol w:w="731"/>
      </w:tblGrid>
      <w:tr w14:paraId="45EC7C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75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F2ABBE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14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96F98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服务范围</w:t>
            </w:r>
          </w:p>
        </w:tc>
        <w:tc>
          <w:tcPr>
            <w:tcW w:w="11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A084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服务子类</w:t>
            </w:r>
          </w:p>
        </w:tc>
        <w:tc>
          <w:tcPr>
            <w:tcW w:w="13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3D24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CBE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服务对象</w:t>
            </w:r>
          </w:p>
        </w:tc>
        <w:tc>
          <w:tcPr>
            <w:tcW w:w="29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DD98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服务内容简介及目标</w:t>
            </w:r>
          </w:p>
        </w:tc>
        <w:tc>
          <w:tcPr>
            <w:tcW w:w="8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543DF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服务方式</w:t>
            </w:r>
          </w:p>
        </w:tc>
        <w:tc>
          <w:tcPr>
            <w:tcW w:w="27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EBDD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服务级别</w:t>
            </w:r>
          </w:p>
        </w:tc>
        <w:tc>
          <w:tcPr>
            <w:tcW w:w="7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D299E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交付成果</w:t>
            </w:r>
          </w:p>
        </w:tc>
      </w:tr>
      <w:tr w14:paraId="4DDD51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EA780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57F82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基础环境运维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C3893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871B1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电力、空调、消防、UPS、安防等基础环境的运维例行维护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69AC4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61EED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对基础环境设备进行例行巡检、日常维保，记录UPS运行状态、温度、湿度、烟雾报警等。目标：及时发现潜在隐患，保障基础环境稳定运行。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380C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260A638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52E2F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02D234A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6164E22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BAB5D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360D6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F09A0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7E9E5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D62B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5C99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F515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4674B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对基础环境设备出现的各类突发故障进行快速响应、精准诊断与有效恢复。目标：在最短时间内恢复故障，最大限度减少对客户业务的干扰和中断影响。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9A96E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F05C3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26E32F0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6623D27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83F23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5EB4E05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8D74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8394F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4343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4406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469A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657D6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</w:t>
            </w:r>
          </w:p>
          <w:p w14:paraId="5A7A585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8D7AA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分析基础环境存在的各类问题与潜在风险，提出并实施针对性的优化改善方案。目标：持续提升基础环境的整体可靠性、运行效率及抗风险能力</w:t>
            </w:r>
          </w:p>
          <w:p w14:paraId="3C8B256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5F96D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C77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F4D03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6DB1625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6BE4F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8FE30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5CF5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网络运维服务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E791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34843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8097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73B6F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定期对路由器、交换机、防火墙进行巡检，保障网络状态稳定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B9BFA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10FA3CD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1B00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70B8DEA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7580A4E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EB8C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3CFC5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21071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420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DC6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4335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1A96D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38B10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及时响应路由器、交换机、防火墙扥网络设备故障，恢复网络运行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C556D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35EAE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6F43264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4326257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DA015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5C48E1E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367081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58AC14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9DEBD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FA89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1254E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63DDC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62D7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分析网络设备原因，及时进行优化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8D57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B60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DD85F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2CB29E5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0895B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6BD7E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F1AF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主机运维服务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DD9D6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64A9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76EB2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0F173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定期对服务器进行状态检查、性能监控、系统日志分析，及时发现并处理潜在问题，保障服务器稳定运行。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E772E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1D888FC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CAC5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7F7367F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46C0225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EAB5A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7A7249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5A42B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8EE5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BC7E2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3E2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855AC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0C345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及时响应并解决服务器的突发故障，提供技术支持，进行故障诊断与处理，恢复业务正常运行。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9E507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1E3D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4FB6581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2265A1D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6CD92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53BB3E9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1CA784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837C6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6C94C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6A185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3C1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4DFA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56DC4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分析服务器运行中出现问题的原因，进行系统参数优化、资源配置优化、性能调优，提升服务器运行效率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9E761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751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6240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13EFE6A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068D0F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12A1E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BCFA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桌面运维服务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5242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F3AA4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C2171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7A1B2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定期对桌面设备进行状态检查、系统更新、病毒查杀，及时发现并处理潜在问题，保障用户正常使用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54615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5436052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AFB0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高 SLA-A：巡检每天/次；</w:t>
            </w:r>
          </w:p>
          <w:p w14:paraId="1D09AA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中 SLA-B：巡检每周/次；</w:t>
            </w:r>
          </w:p>
          <w:p w14:paraId="16E076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52426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4311B5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0BC6FE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3A5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209B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5D3B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2E698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4D876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及时响应并解决桌面设备的突发故障，提供技术支持，进行故障诊断与处理，恢复设备正常运行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EEA8E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B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高 SLA-A：服务时间：7×24，15分钟内响应/1小时远程解决/2小时现场；</w:t>
            </w:r>
          </w:p>
          <w:p w14:paraId="5AA3E1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中 SLA-B：30分钟内响应/2-4小时远程/1工作日现场；</w:t>
            </w:r>
          </w:p>
          <w:p w14:paraId="7038AF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低 SLA-C：2小时内响应/4-8小时远程/2工作日现场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D5BD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1ABB240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31569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6B18D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AEAE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5EAD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942C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CDBEA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49C4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分析桌面设备运行中出现问题的原因，进行系统优化、软件升级、硬件升级建议，提升用户体验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93878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4BFD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D57E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24036AA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09435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6A984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B7F5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其他硬件运维服务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2D5C1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A3D9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针对视频监控摄像机、硬盘录像机等硬件设备例行操作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B9BC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视频监控摄像机、硬盘录像机等硬件设备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F4AD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定期对视频监控摄像机（含球机/枪机/防爆摄像机）、硬盘录像机（NVR/DVR）、存储硬盘及传输线路等硬件设备进行状态检查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4A162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28DF8DC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EA448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4A0CBE1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474CA1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411E8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12A53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E5E53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EB816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FA25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05E0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针对视频监控摄像机、硬盘录像机等等硬件设备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A9857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视频监控摄像机、硬盘录像机等硬件设备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81EA6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对视频监控摄像机（含球机/枪机/防爆摄像机）、硬盘录像机（NVR/DVR）、存储硬盘及传输线路等硬件设备进行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故障处理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10BED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3FBC3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22E47B4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0EF0A18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F21C4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33DDCF5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19E9CF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518805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55337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24C1C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5344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针视频监控摄像机、硬盘录像机等等硬件设备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E05C1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视频监控摄像机、硬盘录像机等硬件设备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50A2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定期视频监控摄像机（含球机/枪机/防爆摄像机）、硬盘录像机（NVR/DVR）、存储硬盘及传输线路等硬件设备进行性能调优、配置优化、硬件升级建议，提升硬件设备运行效率，提交优化改善报告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E5F1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060F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C08F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3311CD9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38ABD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E742E8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444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基础软件运维服务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7D56F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7FB40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9FD77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B410D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定期对操作系统、数据库系统、中间件等基础软件进行状态检查、日志分析、性能监控，及时发现并处理潜在问题，保障基础软件稳定运行，完成巡检记录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56595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02CEDCB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8F530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6205D80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1FBB0E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598C0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03B43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0B756D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4F3D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C321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DE03F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86876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4D8BE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及时响应并解决操作系统、数据库系统、中间件等基础软件的突发故障，提供故障诊断、技术支持与修复服务，恢复基础软件正常运行，提交故障处理报告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3C45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2F3EB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39FA2A3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00F62B8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D6C37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45D962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2DAF88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F8BCD0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E8F8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6808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B53A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79907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24CDA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分析基础软件运行中出现性能问题的原因，进行系统参数优化、版本升级、配置调优，提升基础软件运行效率，提交优化改善报告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0AEF2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3484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95CAD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2A0A24A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5FA2C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02F6D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6B747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应用软件运维服务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075BC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B5DE9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00B43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OA系统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7B36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定期对OA系统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、主数据系统等应用软件进行运行状态检查、日志分析、性能监控，及时发现并处理潜在问题，保障应用软件稳定运行，完成巡检报告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6F13B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0679186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40E65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1230379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1B8AF8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E5196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22B80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2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B95944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41532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CFB01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9096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E8E96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OA系统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FBC5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及时响应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OA系统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、主数据系统等应用软件的突发故障，对服务请求或故障申报提供及时服务，对应用软件中的参数、数据、权限等进行增删改查操作，提供技术支持，修复故障，按期提交故障处理报告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E67DD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692A6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749E733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397191A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2A5C9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75D7C25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E0E7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left w:val="single" w:color="auto" w:sz="12" w:space="0"/>
              <w:bottom w:val="single" w:color="auto" w:sz="4" w:space="0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53CA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bottom w:val="single" w:color="auto" w:sz="4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6E57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A8B24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4AA1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应用软件优化改善</w:t>
            </w:r>
          </w:p>
        </w:tc>
        <w:tc>
          <w:tcPr>
            <w:tcW w:w="22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133A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OA系统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0AE32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针对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OA系统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、主数据系统等应用软件运行中出现的性能问题，进行分析诊断，找出问题原因和解决方法，进行系统参数优化、功能完善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F2289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C05B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B262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0933978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</w:tbl>
    <w:p w14:paraId="4C663A10">
      <w:pPr>
        <w:pStyle w:val="3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811E49"/>
    <w:rsid w:val="116E0688"/>
    <w:rsid w:val="124D39CA"/>
    <w:rsid w:val="20AE1992"/>
    <w:rsid w:val="25FE2A30"/>
    <w:rsid w:val="28C07AC0"/>
    <w:rsid w:val="2D5D4D92"/>
    <w:rsid w:val="2EF42085"/>
    <w:rsid w:val="317B2BE7"/>
    <w:rsid w:val="318B16F2"/>
    <w:rsid w:val="33E41628"/>
    <w:rsid w:val="35D7578A"/>
    <w:rsid w:val="38264B93"/>
    <w:rsid w:val="4FF26A8A"/>
    <w:rsid w:val="505F0E2E"/>
    <w:rsid w:val="5E484209"/>
    <w:rsid w:val="664C031F"/>
    <w:rsid w:val="6D075EA7"/>
    <w:rsid w:val="75BF1893"/>
    <w:rsid w:val="76D474B3"/>
    <w:rsid w:val="7E2D5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5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link w:val="44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4">
    <w:name w:val="柴_正文_无缩进 Char"/>
    <w:link w:val="40"/>
    <w:qFormat/>
    <w:uiPriority w:val="0"/>
    <w:rPr>
      <w:rFonts w:ascii="Arial" w:hAnsi="Arial"/>
      <w:sz w:val="24"/>
      <w:lang w:eastAsia="zh-CN"/>
    </w:rPr>
  </w:style>
  <w:style w:type="character" w:customStyle="1" w:styleId="45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75</Words>
  <Characters>119</Characters>
  <Lines>0</Lines>
  <Paragraphs>0</Paragraphs>
  <TotalTime>0</TotalTime>
  <ScaleCrop>false</ScaleCrop>
  <LinksUpToDate>false</LinksUpToDate>
  <CharactersWithSpaces>119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2026-09-09T15:58:55Z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