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运维服务应急管理制度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SFKJ-ITSS-1001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_Toc5494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_Toc5494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_Toc3714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适用范围</w:t>
          </w:r>
          <w:r>
            <w:tab/>
          </w:r>
          <w:r>
            <w:fldChar w:fldCharType="begin"/>
          </w:r>
          <w:r>
            <w:instrText xml:space="preserve"> PAGEREF _Toc3714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_Toc13766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术语定义</w:t>
          </w:r>
          <w:r>
            <w:tab/>
          </w:r>
          <w:r>
            <w:fldChar w:fldCharType="begin"/>
          </w:r>
          <w:r>
            <w:instrText xml:space="preserve"> PAGEREF _Toc13766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_Toc30512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应急管理原则</w:t>
          </w:r>
          <w:r>
            <w:tab/>
          </w:r>
          <w:r>
            <w:fldChar w:fldCharType="begin"/>
          </w:r>
          <w:r>
            <w:instrText xml:space="preserve"> PAGEREF _Toc30512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_Toc512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应急管理流程</w:t>
          </w:r>
          <w:r>
            <w:tab/>
          </w:r>
          <w:r>
            <w:fldChar w:fldCharType="begin"/>
          </w:r>
          <w:r>
            <w:instrText xml:space="preserve"> PAGEREF _Toc512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_Toc22098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应急组织与职责</w:t>
          </w:r>
          <w:r>
            <w:tab/>
          </w:r>
          <w:r>
            <w:fldChar w:fldCharType="begin"/>
          </w:r>
          <w:r>
            <w:instrText xml:space="preserve"> PAGEREF _Toc22098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_Toc5451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风险评估</w:t>
          </w:r>
          <w:r>
            <w:tab/>
          </w:r>
          <w:r>
            <w:fldChar w:fldCharType="begin"/>
          </w:r>
          <w:r>
            <w:instrText xml:space="preserve"> PAGEREF _Toc5451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_Toc5639 </w:instrText>
          </w:r>
          <w:r>
            <w:fldChar w:fldCharType="separate"/>
          </w:r>
          <w:r>
            <w:rPr>
              <w:rFonts w:hint="default"/>
            </w:rPr>
            <w:t xml:space="preserve">5.2.1. </w:t>
          </w:r>
          <w:r>
            <w:t>评估频次</w:t>
          </w:r>
          <w:r>
            <w:tab/>
          </w:r>
          <w:r>
            <w:fldChar w:fldCharType="begin"/>
          </w:r>
          <w:r>
            <w:instrText xml:space="preserve"> PAGEREF _Toc5639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_Toc18061 </w:instrText>
          </w:r>
          <w:r>
            <w:fldChar w:fldCharType="separate"/>
          </w:r>
          <w:r>
            <w:rPr>
              <w:rFonts w:hint="default"/>
            </w:rPr>
            <w:t xml:space="preserve">5.2.2. </w:t>
          </w:r>
          <w:r>
            <w:t>评估内容</w:t>
          </w:r>
          <w:r>
            <w:tab/>
          </w:r>
          <w:r>
            <w:fldChar w:fldCharType="begin"/>
          </w:r>
          <w:r>
            <w:instrText xml:space="preserve"> PAGEREF _Toc18061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_Toc6587 </w:instrText>
          </w:r>
          <w:r>
            <w:fldChar w:fldCharType="separate"/>
          </w:r>
          <w:r>
            <w:rPr>
              <w:rFonts w:hint="default"/>
            </w:rPr>
            <w:t xml:space="preserve">5.2.3. </w:t>
          </w:r>
          <w:r>
            <w:t>评估方法</w:t>
          </w:r>
          <w:r>
            <w:tab/>
          </w:r>
          <w:r>
            <w:fldChar w:fldCharType="begin"/>
          </w:r>
          <w:r>
            <w:instrText xml:space="preserve"> PAGEREF _Toc6587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_Toc15136 </w:instrText>
          </w:r>
          <w:r>
            <w:fldChar w:fldCharType="separate"/>
          </w:r>
          <w:r>
            <w:rPr>
              <w:rFonts w:hint="default"/>
            </w:rPr>
            <w:t xml:space="preserve">5.3. </w:t>
          </w:r>
          <w:r>
            <w:t>应急预案管理</w:t>
          </w:r>
          <w:r>
            <w:tab/>
          </w:r>
          <w:r>
            <w:fldChar w:fldCharType="begin"/>
          </w:r>
          <w:r>
            <w:instrText xml:space="preserve"> PAGEREF _Toc15136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_Toc27286 </w:instrText>
          </w:r>
          <w:r>
            <w:fldChar w:fldCharType="separate"/>
          </w:r>
          <w:r>
            <w:rPr>
              <w:rFonts w:hint="default"/>
            </w:rPr>
            <w:t xml:space="preserve">5.3.1. </w:t>
          </w:r>
          <w:r>
            <w:t>预案编制要求</w:t>
          </w:r>
          <w:r>
            <w:tab/>
          </w:r>
          <w:r>
            <w:fldChar w:fldCharType="begin"/>
          </w:r>
          <w:r>
            <w:instrText xml:space="preserve"> PAGEREF _Toc27286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_Toc13301 </w:instrText>
          </w:r>
          <w:r>
            <w:fldChar w:fldCharType="separate"/>
          </w:r>
          <w:r>
            <w:rPr>
              <w:rFonts w:hint="default"/>
            </w:rPr>
            <w:t xml:space="preserve">5.3.2. </w:t>
          </w:r>
          <w:r>
            <w:t>预案审批</w:t>
          </w:r>
          <w:r>
            <w:tab/>
          </w:r>
          <w:r>
            <w:fldChar w:fldCharType="begin"/>
          </w:r>
          <w:r>
            <w:instrText xml:space="preserve"> PAGEREF _Toc13301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_Toc22661 </w:instrText>
          </w:r>
          <w:r>
            <w:fldChar w:fldCharType="separate"/>
          </w:r>
          <w:r>
            <w:rPr>
              <w:rFonts w:hint="default"/>
            </w:rPr>
            <w:t xml:space="preserve">5.3.3. </w:t>
          </w:r>
          <w:r>
            <w:t>预案发布与宣贯</w:t>
          </w:r>
          <w:r>
            <w:tab/>
          </w:r>
          <w:r>
            <w:fldChar w:fldCharType="begin"/>
          </w:r>
          <w:r>
            <w:instrText xml:space="preserve"> PAGEREF _Toc22661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_Toc4352 </w:instrText>
          </w:r>
          <w:r>
            <w:fldChar w:fldCharType="separate"/>
          </w:r>
          <w:r>
            <w:rPr>
              <w:rFonts w:hint="default"/>
            </w:rPr>
            <w:t xml:space="preserve">5.3.4. </w:t>
          </w:r>
          <w:r>
            <w:t>预案更新</w:t>
          </w:r>
          <w:r>
            <w:tab/>
          </w:r>
          <w:r>
            <w:fldChar w:fldCharType="begin"/>
          </w:r>
          <w:r>
            <w:instrText xml:space="preserve"> PAGEREF _Toc4352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_Toc15485 </w:instrText>
          </w:r>
          <w:r>
            <w:fldChar w:fldCharType="separate"/>
          </w:r>
          <w:r>
            <w:rPr>
              <w:rFonts w:hint="default"/>
            </w:rPr>
            <w:t xml:space="preserve">5.4. </w:t>
          </w:r>
          <w:r>
            <w:t>应急响应流程</w:t>
          </w:r>
          <w:r>
            <w:tab/>
          </w:r>
          <w:r>
            <w:fldChar w:fldCharType="begin"/>
          </w:r>
          <w:r>
            <w:instrText xml:space="preserve"> PAGEREF _Toc15485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_Toc9450 </w:instrText>
          </w:r>
          <w:r>
            <w:fldChar w:fldCharType="separate"/>
          </w:r>
          <w:r>
            <w:rPr>
              <w:rFonts w:hint="default"/>
            </w:rPr>
            <w:t xml:space="preserve">5.4.1. </w:t>
          </w:r>
          <w:r>
            <w:t>监测与预警</w:t>
          </w:r>
          <w:r>
            <w:tab/>
          </w:r>
          <w:r>
            <w:fldChar w:fldCharType="begin"/>
          </w:r>
          <w:r>
            <w:instrText xml:space="preserve"> PAGEREF _Toc9450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_Toc11751 </w:instrText>
          </w:r>
          <w:r>
            <w:fldChar w:fldCharType="separate"/>
          </w:r>
          <w:r>
            <w:rPr>
              <w:rFonts w:hint="default"/>
            </w:rPr>
            <w:t xml:space="preserve">5.4.2. </w:t>
          </w:r>
          <w:r>
            <w:t>先期处置</w:t>
          </w:r>
          <w:r>
            <w:tab/>
          </w:r>
          <w:r>
            <w:fldChar w:fldCharType="begin"/>
          </w:r>
          <w:r>
            <w:instrText xml:space="preserve"> PAGEREF _Toc11751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_Toc850 </w:instrText>
          </w:r>
          <w:r>
            <w:fldChar w:fldCharType="separate"/>
          </w:r>
          <w:r>
            <w:rPr>
              <w:rFonts w:hint="default"/>
            </w:rPr>
            <w:t xml:space="preserve">5.4.3. </w:t>
          </w:r>
          <w:r>
            <w:t>应急启动</w:t>
          </w:r>
          <w:r>
            <w:tab/>
          </w:r>
          <w:r>
            <w:fldChar w:fldCharType="begin"/>
          </w:r>
          <w:r>
            <w:instrText xml:space="preserve"> PAGEREF _Toc850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_Toc19542 </w:instrText>
          </w:r>
          <w:r>
            <w:fldChar w:fldCharType="separate"/>
          </w:r>
          <w:r>
            <w:rPr>
              <w:rFonts w:hint="default"/>
            </w:rPr>
            <w:t xml:space="preserve">5.4.4. </w:t>
          </w:r>
          <w:r>
            <w:t>应急处置</w:t>
          </w:r>
          <w:r>
            <w:tab/>
          </w:r>
          <w:r>
            <w:fldChar w:fldCharType="begin"/>
          </w:r>
          <w:r>
            <w:instrText xml:space="preserve"> PAGEREF _Toc19542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_Toc1581 </w:instrText>
          </w:r>
          <w:r>
            <w:fldChar w:fldCharType="separate"/>
          </w:r>
          <w:r>
            <w:rPr>
              <w:rFonts w:hint="default"/>
            </w:rPr>
            <w:t xml:space="preserve">5.4.5. </w:t>
          </w:r>
          <w:r>
            <w:t>应急终止</w:t>
          </w:r>
          <w:r>
            <w:tab/>
          </w:r>
          <w:r>
            <w:fldChar w:fldCharType="begin"/>
          </w:r>
          <w:r>
            <w:instrText xml:space="preserve"> PAGEREF _Toc1581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_Toc2033 </w:instrText>
          </w:r>
          <w:r>
            <w:fldChar w:fldCharType="separate"/>
          </w:r>
          <w:r>
            <w:rPr>
              <w:rFonts w:hint="default"/>
            </w:rPr>
            <w:t xml:space="preserve">5.5. </w:t>
          </w:r>
          <w:r>
            <w:t>应急演练</w:t>
          </w:r>
          <w:r>
            <w:tab/>
          </w:r>
          <w:r>
            <w:fldChar w:fldCharType="begin"/>
          </w:r>
          <w:r>
            <w:instrText xml:space="preserve"> PAGEREF _Toc2033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_Toc27390 </w:instrText>
          </w:r>
          <w:r>
            <w:fldChar w:fldCharType="separate"/>
          </w:r>
          <w:r>
            <w:rPr>
              <w:rFonts w:hint="default"/>
            </w:rPr>
            <w:t xml:space="preserve">5.5.1. </w:t>
          </w:r>
          <w:r>
            <w:t>演练频次</w:t>
          </w:r>
          <w:r>
            <w:tab/>
          </w:r>
          <w:r>
            <w:fldChar w:fldCharType="begin"/>
          </w:r>
          <w:r>
            <w:instrText xml:space="preserve"> PAGEREF _Toc27390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_Toc26171 </w:instrText>
          </w:r>
          <w:r>
            <w:fldChar w:fldCharType="separate"/>
          </w:r>
          <w:r>
            <w:rPr>
              <w:rFonts w:hint="default"/>
            </w:rPr>
            <w:t xml:space="preserve">5.5.2. </w:t>
          </w:r>
          <w:r>
            <w:t>演练形式</w:t>
          </w:r>
          <w:r>
            <w:tab/>
          </w:r>
          <w:r>
            <w:fldChar w:fldCharType="begin"/>
          </w:r>
          <w:r>
            <w:instrText xml:space="preserve"> PAGEREF _Toc26171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_Toc12033 </w:instrText>
          </w:r>
          <w:r>
            <w:fldChar w:fldCharType="separate"/>
          </w:r>
          <w:r>
            <w:rPr>
              <w:rFonts w:hint="default"/>
            </w:rPr>
            <w:t xml:space="preserve">5.5.3. </w:t>
          </w:r>
          <w:r>
            <w:t>演练要求</w:t>
          </w:r>
          <w:r>
            <w:tab/>
          </w:r>
          <w:r>
            <w:fldChar w:fldCharType="begin"/>
          </w:r>
          <w:r>
            <w:instrText xml:space="preserve"> PAGEREF _Toc12033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_Toc28199 </w:instrText>
          </w:r>
          <w:r>
            <w:fldChar w:fldCharType="separate"/>
          </w:r>
          <w:r>
            <w:rPr>
              <w:rFonts w:hint="default"/>
            </w:rPr>
            <w:t xml:space="preserve">5.6. </w:t>
          </w:r>
          <w:r>
            <w:t>总结改进</w:t>
          </w:r>
          <w:r>
            <w:tab/>
          </w:r>
          <w:r>
            <w:fldChar w:fldCharType="begin"/>
          </w:r>
          <w:r>
            <w:instrText xml:space="preserve"> PAGEREF _Toc28199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_Toc18816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应急资源保障</w:t>
          </w:r>
          <w:r>
            <w:tab/>
          </w:r>
          <w:r>
            <w:fldChar w:fldCharType="begin"/>
          </w:r>
          <w:r>
            <w:instrText xml:space="preserve"> PAGEREF _Toc18816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_Toc32137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关键绩效指标（KPI）</w:t>
          </w:r>
          <w:r>
            <w:tab/>
          </w:r>
          <w:r>
            <w:fldChar w:fldCharType="begin"/>
          </w:r>
          <w:r>
            <w:instrText xml:space="preserve"> PAGEREF _Toc32137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_Toc7649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记录与归档</w:t>
          </w:r>
          <w:r>
            <w:tab/>
          </w:r>
          <w:r>
            <w:fldChar w:fldCharType="begin"/>
          </w:r>
          <w:r>
            <w:instrText xml:space="preserve"> PAGEREF _Toc7649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_Toc7023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相关文件</w:t>
          </w:r>
          <w:r>
            <w:tab/>
          </w:r>
          <w:r>
            <w:fldChar w:fldCharType="begin"/>
          </w:r>
          <w:r>
            <w:instrText xml:space="preserve"> PAGEREF _Toc7023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_Toc7860 </w:instrText>
      </w:r>
      <w:r>
        <w:fldChar w:fldCharType="separate"/>
      </w:r>
      <w:r>
        <w:rPr>
          <w:rFonts w:hint="eastAsia"/>
          <w:lang w:val="en-US" w:eastAsia="zh-CN"/>
        </w:rPr>
        <w:t>表 2-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事件类型表</w:t>
      </w:r>
      <w:r>
        <w:tab/>
      </w:r>
      <w:r>
        <w:fldChar w:fldCharType="begin"/>
      </w:r>
      <w:r>
        <w:instrText xml:space="preserve"> PAGEREF _Toc7860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_Toc10149 </w:instrText>
      </w:r>
      <w:r>
        <w:fldChar w:fldCharType="separate"/>
      </w:r>
      <w:r>
        <w:rPr>
          <w:rFonts w:hint="eastAsia"/>
          <w:lang w:val="en-US" w:eastAsia="zh-CN"/>
        </w:rPr>
        <w:t>表 3-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应急响应术语表</w:t>
      </w:r>
      <w:r>
        <w:tab/>
      </w:r>
      <w:r>
        <w:fldChar w:fldCharType="begin"/>
      </w:r>
      <w:r>
        <w:instrText xml:space="preserve"> PAGEREF _Toc10149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_Toc4502 </w:instrText>
      </w:r>
      <w:r>
        <w:fldChar w:fldCharType="separate"/>
      </w:r>
      <w:r>
        <w:rPr>
          <w:rFonts w:hint="eastAsia"/>
          <w:lang w:val="en-US" w:eastAsia="zh-CN"/>
        </w:rPr>
        <w:t>表 4-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应急管理原则表</w:t>
      </w:r>
      <w:r>
        <w:tab/>
      </w:r>
      <w:r>
        <w:fldChar w:fldCharType="begin"/>
      </w:r>
      <w:r>
        <w:instrText xml:space="preserve"> PAGEREF _Toc4502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_Toc30483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应急组织架构表</w:t>
      </w:r>
      <w:r>
        <w:tab/>
      </w:r>
      <w:r>
        <w:fldChar w:fldCharType="begin"/>
      </w:r>
      <w:r>
        <w:instrText xml:space="preserve"> PAGEREF _Toc30483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_Toc3840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关键角色职责表</w:t>
      </w:r>
      <w:r>
        <w:tab/>
      </w:r>
      <w:r>
        <w:fldChar w:fldCharType="begin"/>
      </w:r>
      <w:r>
        <w:instrText xml:space="preserve"> PAGEREF _Toc3840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_Toc28546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风险评估频次表</w:t>
      </w:r>
      <w:r>
        <w:tab/>
      </w:r>
      <w:r>
        <w:fldChar w:fldCharType="begin"/>
      </w:r>
      <w:r>
        <w:instrText xml:space="preserve"> PAGEREF _Toc28546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_Toc26926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风险评估内容表</w:t>
      </w:r>
      <w:r>
        <w:tab/>
      </w:r>
      <w:r>
        <w:fldChar w:fldCharType="begin"/>
      </w:r>
      <w:r>
        <w:instrText xml:space="preserve"> PAGEREF _Toc26926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_Toc17570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5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应急预案编制要求表</w:t>
      </w:r>
      <w:r>
        <w:tab/>
      </w:r>
      <w:r>
        <w:fldChar w:fldCharType="begin"/>
      </w:r>
      <w:r>
        <w:instrText xml:space="preserve"> PAGEREF _Toc17570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_Toc15863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6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预案发布宣贯要求表</w:t>
      </w:r>
      <w:r>
        <w:tab/>
      </w:r>
      <w:r>
        <w:fldChar w:fldCharType="begin"/>
      </w:r>
      <w:r>
        <w:instrText xml:space="preserve"> PAGEREF _Toc15863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_Toc13483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7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预案更新要求表</w:t>
      </w:r>
      <w:r>
        <w:tab/>
      </w:r>
      <w:r>
        <w:fldChar w:fldCharType="begin"/>
      </w:r>
      <w:r>
        <w:instrText xml:space="preserve"> PAGEREF _Toc13483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_Toc31733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8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监测与预警要求表</w:t>
      </w:r>
      <w:r>
        <w:tab/>
      </w:r>
      <w:r>
        <w:fldChar w:fldCharType="begin"/>
      </w:r>
      <w:r>
        <w:instrText xml:space="preserve"> PAGEREF _Toc31733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_Toc22177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9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先期处置要求表</w:t>
      </w:r>
      <w:r>
        <w:tab/>
      </w:r>
      <w:r>
        <w:fldChar w:fldCharType="begin"/>
      </w:r>
      <w:r>
        <w:instrText xml:space="preserve"> PAGEREF _Toc22177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_Toc17126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10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应急启动要求表</w:t>
      </w:r>
      <w:r>
        <w:tab/>
      </w:r>
      <w:r>
        <w:fldChar w:fldCharType="begin"/>
      </w:r>
      <w:r>
        <w:instrText xml:space="preserve"> PAGEREF _Toc17126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_Toc7638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应急处置要求表</w:t>
      </w:r>
      <w:r>
        <w:tab/>
      </w:r>
      <w:r>
        <w:fldChar w:fldCharType="begin"/>
      </w:r>
      <w:r>
        <w:instrText xml:space="preserve"> PAGEREF _Toc7638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_Toc9042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应急终止要求表</w:t>
      </w:r>
      <w:r>
        <w:tab/>
      </w:r>
      <w:r>
        <w:fldChar w:fldCharType="begin"/>
      </w:r>
      <w:r>
        <w:instrText xml:space="preserve"> PAGEREF _Toc9042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_Toc14000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13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应急演练频次表</w:t>
      </w:r>
      <w:r>
        <w:tab/>
      </w:r>
      <w:r>
        <w:fldChar w:fldCharType="begin"/>
      </w:r>
      <w:r>
        <w:instrText xml:space="preserve"> PAGEREF _Toc14000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_Toc367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14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应急演练形式表</w:t>
      </w:r>
      <w:r>
        <w:tab/>
      </w:r>
      <w:r>
        <w:fldChar w:fldCharType="begin"/>
      </w:r>
      <w:r>
        <w:instrText xml:space="preserve"> PAGEREF _Toc367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_Toc8364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15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应急演练要求表</w:t>
      </w:r>
      <w:r>
        <w:tab/>
      </w:r>
      <w:r>
        <w:fldChar w:fldCharType="begin"/>
      </w:r>
      <w:r>
        <w:instrText xml:space="preserve"> PAGEREF _Toc8364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_Toc8001 </w:instrText>
      </w:r>
      <w:r>
        <w:fldChar w:fldCharType="separate"/>
      </w:r>
      <w:r>
        <w:rPr>
          <w:rFonts w:hint="eastAsia"/>
          <w:lang w:val="en-US" w:eastAsia="zh-CN"/>
        </w:rPr>
        <w:t>表 5-</w:t>
      </w:r>
      <w:r>
        <w:t xml:space="preserve">16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总结改进要求表</w:t>
      </w:r>
      <w:r>
        <w:tab/>
      </w:r>
      <w:r>
        <w:fldChar w:fldCharType="begin"/>
      </w:r>
      <w:r>
        <w:instrText xml:space="preserve"> PAGEREF _Toc8001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_Toc10659 </w:instrText>
      </w:r>
      <w:r>
        <w:fldChar w:fldCharType="separate"/>
      </w:r>
      <w:r>
        <w:rPr>
          <w:rFonts w:hint="eastAsia"/>
          <w:lang w:val="en-US" w:eastAsia="zh-CN"/>
        </w:rPr>
        <w:t>表 6-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应急资源保障表</w:t>
      </w:r>
      <w:r>
        <w:tab/>
      </w:r>
      <w:r>
        <w:fldChar w:fldCharType="begin"/>
      </w:r>
      <w:r>
        <w:instrText xml:space="preserve"> PAGEREF _Toc10659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_Toc4613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KPI指标表</w:t>
      </w:r>
      <w:r>
        <w:tab/>
      </w:r>
      <w:r>
        <w:fldChar w:fldCharType="begin"/>
      </w:r>
      <w:r>
        <w:instrText xml:space="preserve"> PAGEREF _Toc4613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_Toc11853 </w:instrText>
      </w:r>
      <w:r>
        <w:fldChar w:fldCharType="separate"/>
      </w:r>
      <w:r>
        <w:rPr>
          <w:rFonts w:hint="eastAsia"/>
          <w:lang w:val="en-US" w:eastAsia="zh-CN"/>
        </w:rPr>
        <w:t>表 8-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记录归档要求表</w:t>
      </w:r>
      <w:r>
        <w:tab/>
      </w:r>
      <w:r>
        <w:fldChar w:fldCharType="begin"/>
      </w:r>
      <w:r>
        <w:instrText xml:space="preserve"> PAGEREF _Toc11853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heading_2"/>
      <w:bookmarkStart w:id="2" w:name="_Toc5494"/>
      <w:r>
        <w:t>目的</w:t>
      </w:r>
      <w:bookmarkEnd w:id="1"/>
      <w:bookmarkEnd w:id="2"/>
    </w:p>
    <w:p>
      <w:pPr>
        <w:pStyle w:val="a2"/>
        <w:bidi w:val="0"/>
      </w:pPr>
      <w:r>
        <w:t>为规范公司运维服务过程中突发事件的应急响应管理，建立统一、高效、有序的应急处理机制，确保在突发事件发生时能够快速响应、有效处置、最大限度降低对客户业务的影响，保障服务连续性，满足ITSS信息技术服务运行维护标准要求，特制定本制度。</w:t>
      </w:r>
    </w:p>
    <w:p>
      <w:pPr>
        <w:pStyle w:val="1"/>
        <w:bidi w:val="0"/>
      </w:pPr>
      <w:bookmarkStart w:id="3" w:name="heading_3"/>
      <w:bookmarkStart w:id="4" w:name="_Toc3714"/>
      <w:r>
        <w:t>适用范围</w:t>
      </w:r>
      <w:bookmarkEnd w:id="3"/>
      <w:bookmarkEnd w:id="4"/>
    </w:p>
    <w:p>
      <w:pPr>
        <w:pStyle w:val="a2"/>
        <w:bidi w:val="0"/>
        <w:rPr>
          <w:rFonts w:hint="eastAsia"/>
          <w:lang w:val="en-US" w:eastAsia="zh-CN"/>
        </w:rPr>
      </w:pPr>
      <w:r>
        <w:t>本制度适用于公司所有运维服务项目可能发生的各类突发事件，包括但不限于</w:t>
      </w:r>
      <w:r>
        <w:rPr>
          <w:rFonts w:hint="eastAsia"/>
          <w:lang w:val="en-US" w:eastAsia="zh-CN"/>
        </w:rPr>
        <w:t>以下内容</w:t>
      </w:r>
    </w:p>
    <w:p>
      <w:pPr>
        <w:pStyle w:val="a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786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事件类型表</w:t>
      </w:r>
      <w:bookmarkEnd w:id="5"/>
    </w:p>
    <w:tbl>
      <w:tblPr>
        <w:tblStyle w:val="TableNormal"/>
        <w:tblW w:w="6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39"/>
        <w:gridCol w:w="4461"/>
      </w:tblGrid>
      <w:tr>
        <w:tblPrEx>
          <w:tblW w:w="600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3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事件类型</w:t>
            </w:r>
          </w:p>
        </w:tc>
        <w:tc>
          <w:tcPr>
            <w:tcW w:w="446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系统故障</w:t>
            </w:r>
          </w:p>
        </w:tc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系统崩溃、应用服务中断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数据问题</w:t>
            </w:r>
          </w:p>
        </w:tc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数据丢失或损坏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安全事件</w:t>
            </w:r>
          </w:p>
        </w:tc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网络攻击、病毒爆发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硬件故障</w:t>
            </w:r>
          </w:p>
        </w:tc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服务器、存储、网络设备故障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环境故障</w:t>
            </w:r>
          </w:p>
        </w:tc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机房电力、空调故障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3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其他事件</w:t>
            </w:r>
          </w:p>
        </w:tc>
        <w:tc>
          <w:tcPr>
            <w:tcW w:w="446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其他影响业务连续性的突发事件</w:t>
            </w:r>
          </w:p>
        </w:tc>
      </w:tr>
    </w:tbl>
    <w:p>
      <w:pPr>
        <w:pStyle w:val="1"/>
        <w:bidi w:val="0"/>
      </w:pPr>
      <w:bookmarkStart w:id="6" w:name="heading_4"/>
      <w:bookmarkStart w:id="7" w:name="_Toc13766"/>
      <w:r>
        <w:t>术语定义</w:t>
      </w:r>
      <w:bookmarkEnd w:id="6"/>
      <w:bookmarkEnd w:id="7"/>
    </w:p>
    <w:p>
      <w:pPr>
        <w:pStyle w:val="a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10149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应急响应术语表</w:t>
      </w:r>
      <w:bookmarkEnd w:id="8"/>
    </w:p>
    <w:tbl>
      <w:tblPr>
        <w:tblStyle w:val="TableNormal"/>
        <w:tblW w:w="666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10"/>
        <w:gridCol w:w="5256"/>
      </w:tblGrid>
      <w:tr>
        <w:tblPrEx>
          <w:tblW w:w="6666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1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术语</w:t>
            </w:r>
          </w:p>
        </w:tc>
        <w:tc>
          <w:tcPr>
            <w:tcW w:w="525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定义</w:t>
            </w:r>
          </w:p>
        </w:tc>
      </w:tr>
      <w:tr>
        <w:tblPrEx>
          <w:tblW w:w="66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突发事件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突然发生、可能或已经导致服务中断或质量下降，需要立即采取应对措施的事件</w:t>
            </w:r>
          </w:p>
        </w:tc>
      </w:tr>
      <w:tr>
        <w:tblPrEx>
          <w:tblW w:w="66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应急响应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为应对突发事件而采取的一系列行动和措施，包括监测、预警、处置、恢复等</w:t>
            </w:r>
          </w:p>
        </w:tc>
      </w:tr>
      <w:tr>
        <w:tblPrEx>
          <w:tblW w:w="66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应急预案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针对可能发生的突发事件，预先制定的应急处置方案，包括组织架构、处置流程、资源保障等</w:t>
            </w:r>
          </w:p>
        </w:tc>
      </w:tr>
      <w:tr>
        <w:tblPrEx>
          <w:tblW w:w="66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1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应急演练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按照应急预案组织的模拟演习，以检验预案可行性、锻炼队伍应急能力</w:t>
            </w:r>
          </w:p>
        </w:tc>
      </w:tr>
      <w:tr>
        <w:tblPrEx>
          <w:tblW w:w="666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1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应急组织</w:t>
            </w:r>
          </w:p>
        </w:tc>
        <w:tc>
          <w:tcPr>
            <w:tcW w:w="525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负责应急响应工作的领导机构和工作小组，包括应急领导小组、应急执行小组、应急支持小组</w:t>
            </w:r>
          </w:p>
        </w:tc>
      </w:tr>
    </w:tbl>
    <w:p>
      <w:pPr>
        <w:pStyle w:val="1"/>
        <w:bidi w:val="0"/>
      </w:pPr>
      <w:bookmarkStart w:id="9" w:name="heading_5"/>
      <w:bookmarkStart w:id="10" w:name="_Toc30512"/>
      <w:r>
        <w:t>应急管理原则</w:t>
      </w:r>
      <w:bookmarkEnd w:id="9"/>
      <w:bookmarkEnd w:id="10"/>
    </w:p>
    <w:p>
      <w:pPr>
        <w:pStyle w:val="a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4502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应急管理原则表</w:t>
      </w:r>
      <w:bookmarkEnd w:id="11"/>
    </w:p>
    <w:tbl>
      <w:tblPr>
        <w:tblStyle w:val="TableNormal"/>
        <w:tblW w:w="66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99"/>
        <w:gridCol w:w="5207"/>
      </w:tblGrid>
      <w:tr>
        <w:tblPrEx>
          <w:tblW w:w="6606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9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原则</w:t>
            </w:r>
          </w:p>
        </w:tc>
        <w:tc>
          <w:tcPr>
            <w:tcW w:w="520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660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9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预防为主，常备不懈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加强日常风险排查和隐患治理，做好应急准备，防患于未然</w:t>
            </w:r>
          </w:p>
        </w:tc>
      </w:tr>
      <w:tr>
        <w:tblPrEx>
          <w:tblW w:w="660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9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统一指挥，协同作战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建立统一的应急指挥体系，各部门协同配合，确保应急处置高效有序</w:t>
            </w:r>
          </w:p>
        </w:tc>
      </w:tr>
      <w:tr>
        <w:tblPrEx>
          <w:tblW w:w="660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9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快速响应，有效处置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突发事件发生后，立即启动应急响应，采取有效措施控制事态发展，尽快恢复服务</w:t>
            </w:r>
          </w:p>
        </w:tc>
      </w:tr>
      <w:tr>
        <w:tblPrEx>
          <w:tblW w:w="660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9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信息畅通，及时报告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建立畅通的信息报告渠道，确保应急信息准确、及时传递</w:t>
            </w:r>
          </w:p>
        </w:tc>
      </w:tr>
      <w:tr>
        <w:tblPrEx>
          <w:tblW w:w="6606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总结改进，持续优化</w:t>
            </w:r>
          </w:p>
        </w:tc>
        <w:tc>
          <w:tcPr>
            <w:tcW w:w="52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每次应急事件后及时复盘，总结经验教训，持续完善应急管理体系</w:t>
            </w:r>
          </w:p>
        </w:tc>
      </w:tr>
    </w:tbl>
    <w:p>
      <w:pPr>
        <w:pStyle w:val="1"/>
        <w:bidi w:val="0"/>
      </w:pPr>
      <w:bookmarkStart w:id="12" w:name="heading_6"/>
      <w:bookmarkStart w:id="13" w:name="_Toc512"/>
      <w:r>
        <w:t>应急管理流程</w:t>
      </w:r>
      <w:bookmarkEnd w:id="12"/>
      <w:bookmarkEnd w:id="13"/>
    </w:p>
    <w:p>
      <w:pPr>
        <w:pStyle w:val="2"/>
        <w:bidi w:val="0"/>
      </w:pPr>
      <w:bookmarkStart w:id="14" w:name="heading_7"/>
      <w:bookmarkStart w:id="15" w:name="_Toc22098"/>
      <w:r>
        <w:t>应急组织与职责</w:t>
      </w:r>
      <w:bookmarkEnd w:id="14"/>
      <w:bookmarkEnd w:id="15"/>
    </w:p>
    <w:p>
      <w:pPr>
        <w:pStyle w:val="a2"/>
        <w:bidi w:val="0"/>
      </w:pPr>
      <w:r>
        <w:t>公司设立三级应急组织体系：</w:t>
      </w:r>
    </w:p>
    <w:p>
      <w:pPr>
        <w:pStyle w:val="a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6" w:name="_Toc3048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应急组织架构表</w:t>
      </w:r>
      <w:bookmarkEnd w:id="16"/>
    </w:p>
    <w:tbl>
      <w:tblPr>
        <w:tblStyle w:val="TableNormal"/>
        <w:tblW w:w="72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2660"/>
        <w:gridCol w:w="3020"/>
      </w:tblGrid>
      <w:tr>
        <w:tblPrEx>
          <w:tblW w:w="726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组织层级</w:t>
            </w:r>
          </w:p>
        </w:tc>
        <w:tc>
          <w:tcPr>
            <w:tcW w:w="26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组成人员</w:t>
            </w:r>
          </w:p>
        </w:tc>
        <w:tc>
          <w:tcPr>
            <w:tcW w:w="30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主要职责</w:t>
            </w:r>
          </w:p>
        </w:tc>
      </w:tr>
      <w:tr>
        <w:tblPrEx>
          <w:tblW w:w="726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应急领导小组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副总经理、运维部经理、研发部经理、质量部经理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负责重大突发事件的决策指挥；协调跨部门资源；审批应急预案；监督应急演练</w:t>
            </w:r>
          </w:p>
        </w:tc>
      </w:tr>
      <w:tr>
        <w:tblPrEx>
          <w:tblW w:w="726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应急执行小组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运维项目经理、硬件运维工程师、软件运维工程师、技术支持工程师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负责具体应急处置工作；执行应急预案；记录处置过程；参与应急演练</w:t>
            </w:r>
          </w:p>
        </w:tc>
      </w:tr>
      <w:tr>
        <w:tblPrEx>
          <w:tblW w:w="726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应急支持小组</w:t>
            </w:r>
          </w:p>
        </w:tc>
        <w:tc>
          <w:tcPr>
            <w:tcW w:w="26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人力部经理、备件库专员、采购专员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负责后勤保障、物资调配、外部联络、客户沟通等支持工作</w:t>
            </w:r>
          </w:p>
        </w:tc>
      </w:tr>
    </w:tbl>
    <w:p>
      <w:pPr>
        <w:pStyle w:val="a2"/>
        <w:keepNext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7" w:name="_Toc384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关键角色职责表</w:t>
      </w:r>
      <w:bookmarkEnd w:id="17"/>
    </w:p>
    <w:tbl>
      <w:tblPr>
        <w:tblStyle w:val="TableNormal"/>
        <w:tblW w:w="73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3020"/>
        <w:gridCol w:w="3020"/>
      </w:tblGrid>
      <w:tr>
        <w:tblPrEx>
          <w:tblW w:w="73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角色</w:t>
            </w:r>
          </w:p>
        </w:tc>
        <w:tc>
          <w:tcPr>
            <w:tcW w:w="30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岗位</w:t>
            </w:r>
          </w:p>
        </w:tc>
        <w:tc>
          <w:tcPr>
            <w:tcW w:w="302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keepNext/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职责</w:t>
            </w:r>
          </w:p>
        </w:tc>
      </w:tr>
      <w:tr>
        <w:tblPrEx>
          <w:tblW w:w="73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应急总指挥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副总经理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全面负责应急指挥工作，下达应急指令</w:t>
            </w:r>
          </w:p>
        </w:tc>
      </w:tr>
      <w:tr>
        <w:tblPrEx>
          <w:tblW w:w="73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现场处置负责人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负责现场应急处置的组织和协调</w:t>
            </w:r>
          </w:p>
        </w:tc>
      </w:tr>
      <w:tr>
        <w:tblPrEx>
          <w:tblW w:w="73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技术支持专家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研发部经理、技术支持工程师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提供技术决策支持，解决复杂技术问题</w:t>
            </w:r>
          </w:p>
        </w:tc>
      </w:tr>
      <w:tr>
        <w:tblPrEx>
          <w:tblW w:w="73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后勤保障负责人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人力部经理、备件库专员、采购专员</w:t>
            </w:r>
          </w:p>
        </w:tc>
        <w:tc>
          <w:tcPr>
            <w:tcW w:w="30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负责应急物资调配和后勤保障</w:t>
            </w:r>
          </w:p>
        </w:tc>
      </w:tr>
    </w:tbl>
    <w:p>
      <w:pPr>
        <w:pStyle w:val="2"/>
        <w:bidi w:val="0"/>
      </w:pPr>
      <w:bookmarkStart w:id="18" w:name="heading_8"/>
      <w:bookmarkStart w:id="19" w:name="_Toc5451"/>
      <w:r>
        <w:t>风险评估</w:t>
      </w:r>
      <w:bookmarkEnd w:id="18"/>
      <w:bookmarkEnd w:id="19"/>
    </w:p>
    <w:p>
      <w:pPr>
        <w:pStyle w:val="a2"/>
        <w:bidi w:val="0"/>
      </w:pPr>
      <w:r>
        <w:t>风险评估是应急管理的基础，旨在识别潜在风险并确定其影响程度，为应急预案制定提供依据。</w:t>
      </w:r>
    </w:p>
    <w:p>
      <w:pPr>
        <w:pStyle w:val="3"/>
        <w:bidi w:val="0"/>
      </w:pPr>
      <w:bookmarkStart w:id="20" w:name="heading_9"/>
      <w:bookmarkStart w:id="21" w:name="_Toc5639"/>
      <w:r>
        <w:t>评估频次</w:t>
      </w:r>
      <w:bookmarkEnd w:id="20"/>
      <w:bookmarkEnd w:id="21"/>
    </w:p>
    <w:p>
      <w:pPr>
        <w:pStyle w:val="a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22" w:name="_Toc28546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风险评估频次表</w:t>
      </w:r>
      <w:bookmarkEnd w:id="22"/>
    </w:p>
    <w:tbl>
      <w:tblPr>
        <w:tblStyle w:val="TableNormal"/>
        <w:tblW w:w="6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20"/>
        <w:gridCol w:w="3276"/>
        <w:gridCol w:w="1604"/>
      </w:tblGrid>
      <w:tr>
        <w:tblPrEx>
          <w:tblW w:w="600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2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评估类型</w:t>
            </w:r>
          </w:p>
        </w:tc>
        <w:tc>
          <w:tcPr>
            <w:tcW w:w="327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评估时机</w:t>
            </w:r>
          </w:p>
        </w:tc>
        <w:tc>
          <w:tcPr>
            <w:tcW w:w="160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2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年度评估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每年12月组织一次全面风险评估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运维部经理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专项评估</w:t>
            </w:r>
          </w:p>
        </w:tc>
        <w:tc>
          <w:tcPr>
            <w:tcW w:w="327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新项目启动、重大变更实施前、新技术引入时</w:t>
            </w:r>
          </w:p>
        </w:tc>
        <w:tc>
          <w:tcPr>
            <w:tcW w:w="16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运维项目经理</w:t>
            </w:r>
          </w:p>
        </w:tc>
      </w:tr>
    </w:tbl>
    <w:p>
      <w:pPr>
        <w:pStyle w:val="3"/>
        <w:bidi w:val="0"/>
      </w:pPr>
      <w:bookmarkStart w:id="23" w:name="heading_10"/>
      <w:bookmarkStart w:id="24" w:name="_Toc18061"/>
      <w:r>
        <w:t>评估内容</w:t>
      </w:r>
      <w:bookmarkEnd w:id="23"/>
      <w:bookmarkEnd w:id="24"/>
    </w:p>
    <w:p>
      <w:pPr>
        <w:pStyle w:val="a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5" w:name="_Toc26926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风险评估内容表</w:t>
      </w:r>
      <w:bookmarkEnd w:id="25"/>
    </w:p>
    <w:tbl>
      <w:tblPr>
        <w:tblStyle w:val="TableNormal"/>
        <w:tblW w:w="6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04"/>
        <w:gridCol w:w="4696"/>
      </w:tblGrid>
      <w:tr>
        <w:tblPrEx>
          <w:tblW w:w="600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风险类别</w:t>
            </w:r>
          </w:p>
        </w:tc>
        <w:tc>
          <w:tcPr>
            <w:tcW w:w="469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评估内容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技术风险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系统架构缺陷、软件漏洞、硬件老化、容量瓶颈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安全风险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网络攻击、病毒入侵、数据泄露、权限滥用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环境风险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电力中断、空调故障、火灾、水灾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人员风险</w:t>
            </w:r>
          </w:p>
        </w:tc>
        <w:tc>
          <w:tcPr>
            <w:tcW w:w="4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关键人员离职、操作失误、技能不足</w:t>
            </w:r>
          </w:p>
        </w:tc>
      </w:tr>
    </w:tbl>
    <w:p>
      <w:pPr>
        <w:pStyle w:val="3"/>
        <w:bidi w:val="0"/>
      </w:pPr>
      <w:bookmarkStart w:id="26" w:name="heading_11"/>
      <w:bookmarkStart w:id="27" w:name="_Toc6587"/>
      <w:r>
        <w:t>评估方法</w:t>
      </w:r>
      <w:bookmarkEnd w:id="26"/>
      <w:bookmarkEnd w:id="27"/>
    </w:p>
    <w:p>
      <w:pPr>
        <w:pStyle w:val="a2"/>
        <w:bidi w:val="0"/>
      </w:pPr>
      <w:r>
        <w:t>采用定性或定量方法，对风险发生概率和影响程度进行评估，形成《风险评估报告》，确定风险等级（高/中/低）及应对优先级。</w:t>
      </w:r>
    </w:p>
    <w:p>
      <w:pPr>
        <w:pStyle w:val="2"/>
        <w:bidi w:val="0"/>
      </w:pPr>
      <w:bookmarkStart w:id="28" w:name="heading_12"/>
      <w:bookmarkStart w:id="29" w:name="_Toc15136"/>
      <w:r>
        <w:t>应急预案管理</w:t>
      </w:r>
      <w:bookmarkEnd w:id="28"/>
      <w:bookmarkEnd w:id="29"/>
    </w:p>
    <w:p>
      <w:pPr>
        <w:pStyle w:val="a2"/>
        <w:bidi w:val="0"/>
      </w:pPr>
      <w:r>
        <w:t>应急预案是针对可能发生的突发事件，预先制定的处置方案。</w:t>
      </w:r>
    </w:p>
    <w:p>
      <w:pPr>
        <w:pStyle w:val="3"/>
        <w:bidi w:val="0"/>
      </w:pPr>
      <w:bookmarkStart w:id="30" w:name="heading_13"/>
      <w:bookmarkStart w:id="31" w:name="_Toc27286"/>
      <w:r>
        <w:t>预案编制要求</w:t>
      </w:r>
      <w:bookmarkEnd w:id="30"/>
      <w:bookmarkEnd w:id="31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bookmarkStart w:id="32" w:name="_Toc1757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应急预案编制要求表</w:t>
      </w:r>
      <w:bookmarkEnd w:id="32"/>
    </w:p>
    <w:tbl>
      <w:tblPr>
        <w:tblStyle w:val="TableNormal"/>
        <w:tblW w:w="6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54"/>
        <w:gridCol w:w="5046"/>
      </w:tblGrid>
      <w:tr>
        <w:tblPrEx>
          <w:tblW w:w="600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95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504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编制要求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5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每个运维项目应至少制定一份《应急预案》，涵盖项目核心系统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5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应急预案应包括：适用范围、应急组织架构及职责、风险场景及对应处置流程、联络方式、资源清单、恢复步骤、回退方案等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5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50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应急预案应简明实用，便于快速查阅和执行</w:t>
            </w:r>
          </w:p>
        </w:tc>
      </w:tr>
    </w:tbl>
    <w:p>
      <w:pPr>
        <w:pStyle w:val="3"/>
        <w:bidi w:val="0"/>
      </w:pPr>
      <w:bookmarkStart w:id="33" w:name="heading_14"/>
      <w:bookmarkStart w:id="34" w:name="_Toc13301"/>
      <w:r>
        <w:t>预案审批</w:t>
      </w:r>
      <w:bookmarkEnd w:id="33"/>
      <w:bookmarkEnd w:id="34"/>
    </w:p>
    <w:p>
      <w:pPr>
        <w:pStyle w:val="a2"/>
        <w:bidi w:val="0"/>
      </w:pPr>
      <w:r>
        <w:t>应急预案由运维项目经理组织编写，经运维部经理审核、副总经理批准后发布执行。</w:t>
      </w:r>
    </w:p>
    <w:p>
      <w:pPr>
        <w:pStyle w:val="3"/>
        <w:bidi w:val="0"/>
      </w:pPr>
      <w:bookmarkStart w:id="35" w:name="heading_15"/>
      <w:bookmarkStart w:id="36" w:name="_Toc22661"/>
      <w:r>
        <w:t>预案发布与宣贯</w:t>
      </w:r>
      <w:bookmarkEnd w:id="35"/>
      <w:bookmarkEnd w:id="36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eastAsia"/>
          <w:lang w:val="en-US" w:eastAsia="zh-CN"/>
        </w:rPr>
        <w:fldChar w:fldCharType="end"/>
      </w:r>
      <w:bookmarkStart w:id="37" w:name="_Toc1586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预案发布宣贯要求表</w:t>
      </w:r>
      <w:bookmarkEnd w:id="37"/>
    </w:p>
    <w:tbl>
      <w:tblPr>
        <w:tblStyle w:val="TableNormal"/>
        <w:tblW w:w="600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37"/>
        <w:gridCol w:w="5363"/>
      </w:tblGrid>
      <w:tr>
        <w:tblPrEx>
          <w:tblW w:w="600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3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536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应急预案发布后，应组织相关人员进行培训，确保熟悉预案内容</w:t>
            </w:r>
          </w:p>
        </w:tc>
      </w:tr>
      <w:tr>
        <w:tblPrEx>
          <w:tblW w:w="600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3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536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应急预案应分发至所有应急组织成员，并存放于易获取的位置（如共享文档库、运维工具中）</w:t>
            </w:r>
          </w:p>
        </w:tc>
      </w:tr>
    </w:tbl>
    <w:p>
      <w:pPr>
        <w:pStyle w:val="3"/>
        <w:bidi w:val="0"/>
      </w:pPr>
      <w:bookmarkStart w:id="38" w:name="heading_16"/>
      <w:bookmarkStart w:id="39" w:name="_Toc4352"/>
      <w:r>
        <w:t>预案更新</w:t>
      </w:r>
      <w:bookmarkEnd w:id="38"/>
      <w:bookmarkEnd w:id="39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7</w:t>
      </w:r>
      <w:r>
        <w:rPr>
          <w:rFonts w:hint="eastAsia"/>
          <w:lang w:val="en-US" w:eastAsia="zh-CN"/>
        </w:rPr>
        <w:fldChar w:fldCharType="end"/>
      </w:r>
      <w:bookmarkStart w:id="40" w:name="_Toc1348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预案更新要求表</w:t>
      </w:r>
      <w:bookmarkEnd w:id="40"/>
    </w:p>
    <w:tbl>
      <w:tblPr>
        <w:tblStyle w:val="TableNormal"/>
        <w:tblW w:w="7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2"/>
        <w:gridCol w:w="6588"/>
      </w:tblGrid>
      <w:tr>
        <w:tblPrEx>
          <w:tblW w:w="7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6588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更新时机</w:t>
            </w:r>
          </w:p>
        </w:tc>
      </w:tr>
      <w:tr>
        <w:tblPrEx>
          <w:tblW w:w="7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每年至少评审一次应急预案</w:t>
            </w:r>
          </w:p>
        </w:tc>
      </w:tr>
      <w:tr>
        <w:tblPrEx>
          <w:tblW w:w="7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根据风险评估结果、演练总结、实际事件处置经验进行修订</w:t>
            </w:r>
          </w:p>
        </w:tc>
      </w:tr>
      <w:tr>
        <w:tblPrEx>
          <w:tblW w:w="7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658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重大变更或组织架构调整后，应及时更新应急预案</w:t>
            </w:r>
          </w:p>
        </w:tc>
      </w:tr>
    </w:tbl>
    <w:p>
      <w:pPr>
        <w:pStyle w:val="2"/>
        <w:bidi w:val="0"/>
      </w:pPr>
      <w:bookmarkStart w:id="41" w:name="heading_17"/>
      <w:bookmarkStart w:id="42" w:name="_Toc15485"/>
      <w:r>
        <w:t>应急响应流程</w:t>
      </w:r>
      <w:bookmarkEnd w:id="41"/>
      <w:bookmarkEnd w:id="42"/>
    </w:p>
    <w:p>
      <w:pPr>
        <w:pStyle w:val="a2"/>
        <w:bidi w:val="0"/>
      </w:pPr>
      <w:r>
        <w:t>应急响应流程分为监测与预警、先期处置、应急启动、应急处置、应急终止五个阶段。</w:t>
      </w:r>
    </w:p>
    <w:p>
      <w:pPr>
        <w:pStyle w:val="3"/>
        <w:bidi w:val="0"/>
      </w:pPr>
      <w:bookmarkStart w:id="43" w:name="heading_18"/>
      <w:bookmarkStart w:id="44" w:name="_Toc9450"/>
      <w:r>
        <w:t>监测与预警</w:t>
      </w:r>
      <w:bookmarkEnd w:id="43"/>
      <w:bookmarkEnd w:id="44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eastAsia"/>
          <w:lang w:val="en-US" w:eastAsia="zh-CN"/>
        </w:rPr>
        <w:fldChar w:fldCharType="end"/>
      </w:r>
      <w:bookmarkStart w:id="45" w:name="_Toc3173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监测与预警要求表</w:t>
      </w:r>
      <w:bookmarkEnd w:id="4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9"/>
        <w:gridCol w:w="7823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782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通过监控工具7×24小时实时监测系统运行状态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当监控指标触发预警阈值时，监控系统自动发送告警至值班人员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782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值班人员应立即核实告警信息，判断是否为突发事件，必要时启动应急响应</w:t>
            </w:r>
          </w:p>
        </w:tc>
      </w:tr>
    </w:tbl>
    <w:p>
      <w:pPr>
        <w:pStyle w:val="3"/>
        <w:bidi w:val="0"/>
      </w:pPr>
      <w:bookmarkStart w:id="46" w:name="heading_19"/>
      <w:bookmarkStart w:id="47" w:name="_Toc11751"/>
      <w:r>
        <w:t>先期处置</w:t>
      </w:r>
      <w:bookmarkEnd w:id="46"/>
      <w:bookmarkEnd w:id="47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9</w:t>
      </w:r>
      <w:r>
        <w:rPr>
          <w:rFonts w:hint="eastAsia"/>
          <w:lang w:val="en-US" w:eastAsia="zh-CN"/>
        </w:rPr>
        <w:fldChar w:fldCharType="end"/>
      </w:r>
      <w:bookmarkStart w:id="48" w:name="_Toc22177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先期处置要求表</w:t>
      </w:r>
      <w:bookmarkEnd w:id="48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7"/>
        <w:gridCol w:w="782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782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一线工程师接到告警后，应在15分钟内响应，尝试快速恢复服务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若在30分钟内无法恢复，或事件影响重大（如核心业务中断），应立即上报运维项目经理和副总经理</w:t>
            </w:r>
          </w:p>
        </w:tc>
      </w:tr>
    </w:tbl>
    <w:p>
      <w:pPr>
        <w:pStyle w:val="3"/>
        <w:bidi w:val="0"/>
      </w:pPr>
      <w:bookmarkStart w:id="49" w:name="heading_20"/>
      <w:bookmarkStart w:id="50" w:name="_Toc850"/>
      <w:r>
        <w:t>应急启动</w:t>
      </w:r>
      <w:bookmarkEnd w:id="49"/>
      <w:bookmarkEnd w:id="50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10</w:t>
      </w:r>
      <w:r>
        <w:rPr>
          <w:rFonts w:hint="eastAsia"/>
          <w:lang w:val="en-US" w:eastAsia="zh-CN"/>
        </w:rPr>
        <w:fldChar w:fldCharType="end"/>
      </w:r>
      <w:bookmarkStart w:id="51" w:name="_Toc17126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应急启动要求表</w:t>
      </w:r>
      <w:bookmarkEnd w:id="51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8"/>
        <w:gridCol w:w="782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78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应急领导小组根据事件等级决定是否启动应急预案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启动应急预案后，应急总指挥下达指令，应急执行小组迅速到位，按照预案开展处置工作</w:t>
            </w:r>
          </w:p>
        </w:tc>
      </w:tr>
    </w:tbl>
    <w:p>
      <w:pPr>
        <w:pStyle w:val="3"/>
        <w:bidi w:val="0"/>
      </w:pPr>
      <w:bookmarkStart w:id="52" w:name="heading_21"/>
      <w:bookmarkStart w:id="53" w:name="_Toc19542"/>
      <w:r>
        <w:t>应急处置</w:t>
      </w:r>
      <w:bookmarkEnd w:id="52"/>
      <w:bookmarkEnd w:id="53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11</w:t>
      </w:r>
      <w:r>
        <w:rPr>
          <w:rFonts w:hint="eastAsia"/>
          <w:lang w:val="en-US" w:eastAsia="zh-CN"/>
        </w:rPr>
        <w:fldChar w:fldCharType="end"/>
      </w:r>
      <w:bookmarkStart w:id="54" w:name="_Toc7638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应急处置要求表</w:t>
      </w:r>
      <w:bookmarkEnd w:id="54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16"/>
        <w:gridCol w:w="730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1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阶段</w:t>
            </w:r>
          </w:p>
        </w:tc>
        <w:tc>
          <w:tcPr>
            <w:tcW w:w="730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故障排查</w:t>
            </w:r>
          </w:p>
        </w:tc>
        <w:tc>
          <w:tcPr>
            <w:tcW w:w="73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快速定位故障点，分析故障原因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服务恢复</w:t>
            </w:r>
          </w:p>
        </w:tc>
        <w:tc>
          <w:tcPr>
            <w:tcW w:w="73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采取有效措施恢复服务，必要时执行回退方案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信息通报</w:t>
            </w:r>
          </w:p>
        </w:tc>
        <w:tc>
          <w:tcPr>
            <w:tcW w:w="730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按照预案要求，及时向客户、管理层通报处置进展，重大事件每30分钟通报一次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资源协调</w:t>
            </w:r>
          </w:p>
        </w:tc>
        <w:tc>
          <w:tcPr>
            <w:tcW w:w="730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如需外部支持（如厂商、研发部门），由应急领导小组协调</w:t>
            </w:r>
          </w:p>
        </w:tc>
      </w:tr>
    </w:tbl>
    <w:p>
      <w:pPr>
        <w:pStyle w:val="3"/>
        <w:bidi w:val="0"/>
      </w:pPr>
      <w:bookmarkStart w:id="55" w:name="heading_22"/>
      <w:bookmarkStart w:id="56" w:name="_Toc1581"/>
      <w:r>
        <w:t>应急终止</w:t>
      </w:r>
      <w:bookmarkEnd w:id="55"/>
      <w:bookmarkEnd w:id="56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12</w:t>
      </w:r>
      <w:r>
        <w:rPr>
          <w:rFonts w:hint="eastAsia"/>
          <w:lang w:val="en-US" w:eastAsia="zh-CN"/>
        </w:rPr>
        <w:fldChar w:fldCharType="end"/>
      </w:r>
      <w:bookmarkStart w:id="57" w:name="_Toc9042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应急终止要求表</w:t>
      </w:r>
      <w:bookmarkEnd w:id="57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7"/>
        <w:gridCol w:w="782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782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服务恢复且系统稳定运行30分钟后，经应急领导小组确认，可终止应急响应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78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应急终止后，应填写《应急事件处置报告》，详细记录事件发生时间、影响范围、处置过程、恢复时间、根本原因、改进措施等</w:t>
            </w:r>
          </w:p>
        </w:tc>
      </w:tr>
    </w:tbl>
    <w:p>
      <w:pPr>
        <w:pStyle w:val="2"/>
        <w:bidi w:val="0"/>
      </w:pPr>
      <w:bookmarkStart w:id="58" w:name="heading_23"/>
      <w:bookmarkStart w:id="59" w:name="_Toc2033"/>
      <w:r>
        <w:t>应急演练</w:t>
      </w:r>
      <w:bookmarkEnd w:id="58"/>
      <w:bookmarkEnd w:id="59"/>
    </w:p>
    <w:p>
      <w:pPr>
        <w:pStyle w:val="a2"/>
        <w:bidi w:val="0"/>
      </w:pPr>
      <w:r>
        <w:t>应急演练是检验应急预案有效性和提升应急队伍能力的重要手段。</w:t>
      </w:r>
    </w:p>
    <w:p>
      <w:pPr>
        <w:pStyle w:val="3"/>
        <w:bidi w:val="0"/>
      </w:pPr>
      <w:bookmarkStart w:id="60" w:name="heading_24"/>
      <w:bookmarkStart w:id="61" w:name="_Toc27390"/>
      <w:r>
        <w:t>演练频次</w:t>
      </w:r>
      <w:bookmarkEnd w:id="60"/>
      <w:bookmarkEnd w:id="61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13</w:t>
      </w:r>
      <w:r>
        <w:rPr>
          <w:rFonts w:hint="eastAsia"/>
          <w:lang w:val="en-US" w:eastAsia="zh-CN"/>
        </w:rPr>
        <w:fldChar w:fldCharType="end"/>
      </w:r>
      <w:bookmarkStart w:id="62" w:name="_Toc14000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应急演练频次表</w:t>
      </w:r>
      <w:bookmarkEnd w:id="6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366"/>
        <w:gridCol w:w="3315"/>
        <w:gridCol w:w="284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36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演练类型</w:t>
            </w:r>
          </w:p>
        </w:tc>
        <w:tc>
          <w:tcPr>
            <w:tcW w:w="33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频次</w:t>
            </w:r>
          </w:p>
        </w:tc>
        <w:tc>
          <w:tcPr>
            <w:tcW w:w="284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责任人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全面演练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每年至少一次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副总经理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36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专项演练</w:t>
            </w:r>
          </w:p>
        </w:tc>
        <w:tc>
          <w:tcPr>
            <w:tcW w:w="33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每季度一次</w:t>
            </w:r>
          </w:p>
        </w:tc>
        <w:tc>
          <w:tcPr>
            <w:tcW w:w="28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</w:tr>
    </w:tbl>
    <w:p>
      <w:pPr>
        <w:pStyle w:val="3"/>
        <w:bidi w:val="0"/>
      </w:pPr>
      <w:bookmarkStart w:id="63" w:name="heading_25"/>
      <w:bookmarkStart w:id="64" w:name="_Toc26171"/>
      <w:r>
        <w:t>演练形式</w:t>
      </w:r>
      <w:bookmarkEnd w:id="63"/>
      <w:bookmarkEnd w:id="64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14</w:t>
      </w:r>
      <w:r>
        <w:rPr>
          <w:rFonts w:hint="eastAsia"/>
          <w:lang w:val="en-US" w:eastAsia="zh-CN"/>
        </w:rPr>
        <w:fldChar w:fldCharType="end"/>
      </w:r>
      <w:bookmarkStart w:id="65" w:name="_Toc367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应急演练形式表</w:t>
      </w:r>
      <w:bookmarkEnd w:id="6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06"/>
        <w:gridCol w:w="6816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0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演练形式</w:t>
            </w:r>
          </w:p>
        </w:tc>
        <w:tc>
          <w:tcPr>
            <w:tcW w:w="681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说明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桌面推演</w:t>
            </w:r>
          </w:p>
        </w:tc>
        <w:tc>
          <w:tcPr>
            <w:tcW w:w="681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以会议形式讨论应急预案，检验流程合理性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0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实战演练</w:t>
            </w:r>
          </w:p>
        </w:tc>
        <w:tc>
          <w:tcPr>
            <w:tcW w:w="681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模拟真实故障场景，实际操作应急处置流程</w:t>
            </w:r>
          </w:p>
        </w:tc>
      </w:tr>
    </w:tbl>
    <w:p>
      <w:pPr>
        <w:pStyle w:val="3"/>
        <w:bidi w:val="0"/>
      </w:pPr>
      <w:bookmarkStart w:id="66" w:name="heading_26"/>
      <w:bookmarkStart w:id="67" w:name="_Toc12033"/>
      <w:r>
        <w:t>演练要求</w:t>
      </w:r>
      <w:bookmarkEnd w:id="66"/>
      <w:bookmarkEnd w:id="67"/>
      <w:bookmarkStart w:id="68" w:name="_GoBack"/>
      <w:bookmarkEnd w:id="68"/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15</w:t>
      </w:r>
      <w:r>
        <w:rPr>
          <w:rFonts w:hint="eastAsia"/>
          <w:lang w:val="en-US" w:eastAsia="zh-CN"/>
        </w:rPr>
        <w:fldChar w:fldCharType="end"/>
      </w:r>
      <w:bookmarkStart w:id="69" w:name="_Toc8364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应急演练要求表</w:t>
      </w:r>
      <w:bookmarkEnd w:id="69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8"/>
        <w:gridCol w:w="782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序号</w:t>
            </w:r>
          </w:p>
        </w:tc>
        <w:tc>
          <w:tcPr>
            <w:tcW w:w="782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演练前制定《应急演练计划》，明确演练目标、场景、参与人员、物资准备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演练过程全程记录，演练后组织复盘，评估演练效果，形成《应急演练总结报告》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78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针对演练中发现的问题，及时修订应急预案，并组织再培训</w:t>
            </w:r>
          </w:p>
        </w:tc>
      </w:tr>
    </w:tbl>
    <w:p>
      <w:pPr>
        <w:pStyle w:val="2"/>
        <w:bidi w:val="0"/>
      </w:pPr>
      <w:bookmarkStart w:id="70" w:name="heading_27"/>
      <w:bookmarkStart w:id="71" w:name="_Toc28199"/>
      <w:r>
        <w:t>总结改进</w:t>
      </w:r>
      <w:bookmarkEnd w:id="70"/>
      <w:bookmarkEnd w:id="71"/>
    </w:p>
    <w:p>
      <w:pPr>
        <w:pStyle w:val="a2"/>
        <w:bidi w:val="0"/>
      </w:pPr>
      <w:r>
        <w:t>每次应急事件或演练结束后，应及时进行总结，推动应急管理体系持续改进。</w:t>
      </w:r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16</w:t>
      </w:r>
      <w:r>
        <w:rPr>
          <w:rFonts w:hint="eastAsia"/>
          <w:lang w:val="en-US" w:eastAsia="zh-CN"/>
        </w:rPr>
        <w:fldChar w:fldCharType="end"/>
      </w:r>
      <w:bookmarkStart w:id="72" w:name="_Toc8001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总结改进要求表</w:t>
      </w:r>
      <w:bookmarkEnd w:id="72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11"/>
        <w:gridCol w:w="7311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活动</w:t>
            </w:r>
          </w:p>
        </w:tc>
        <w:tc>
          <w:tcPr>
            <w:tcW w:w="731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管理要求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事件复盘</w:t>
            </w:r>
          </w:p>
        </w:tc>
        <w:tc>
          <w:tcPr>
            <w:tcW w:w="73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应急事件结束后5个工作日内，由副总经理组织复盘会议，分析事件原因、处置过程、存在问题，形成《应急事件复盘报告》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改进措施</w:t>
            </w:r>
          </w:p>
        </w:tc>
        <w:tc>
          <w:tcPr>
            <w:tcW w:w="731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针对复盘发现的问题，制定改进措施，明确责任人和完成时限，纳入公司《服务改进计划》跟踪落实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知识沉淀</w:t>
            </w:r>
          </w:p>
        </w:tc>
        <w:tc>
          <w:tcPr>
            <w:tcW w:w="73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将应急处置过程中的经验教训、解决方案纳入运维知识库，供全员共享</w:t>
            </w:r>
          </w:p>
        </w:tc>
      </w:tr>
    </w:tbl>
    <w:p>
      <w:pPr>
        <w:pStyle w:val="1"/>
        <w:bidi w:val="0"/>
      </w:pPr>
      <w:bookmarkStart w:id="73" w:name="heading_28"/>
      <w:bookmarkStart w:id="74" w:name="_Toc18816"/>
      <w:r>
        <w:t>应急资源保障</w:t>
      </w:r>
      <w:bookmarkEnd w:id="73"/>
      <w:bookmarkEnd w:id="74"/>
    </w:p>
    <w:p>
      <w:pPr>
        <w:pStyle w:val="a2"/>
        <w:bidi w:val="0"/>
      </w:pPr>
      <w:r>
        <w:t>为确保应急响应高效有序，公司提供以下资源保障：</w:t>
      </w:r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5" w:name="_Toc10659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应急资源保障表</w:t>
      </w:r>
      <w:bookmarkEnd w:id="75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13"/>
        <w:gridCol w:w="7309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资源类型</w:t>
            </w:r>
          </w:p>
        </w:tc>
        <w:tc>
          <w:tcPr>
            <w:tcW w:w="730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保障措施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人员资源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建立应急组织，明确AB角备份，确保关键岗位随时有人；定期组织应急培训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技术资源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部署监控工具、备份工具、远程支持工具；建立运维知识库，积累应急处理经验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备件资源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建立备件库，储备关键备件（如服务器硬盘、内存、网络模块），并与供应商签订紧急供货协议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通信资源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建立应急联络表（含客户、内部人员、供应商联系方式），确保通信畅通；建立应急电话会议系统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2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文档资源</w:t>
            </w:r>
          </w:p>
        </w:tc>
        <w:tc>
          <w:tcPr>
            <w:tcW w:w="730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应急预案、操作手册、网络拓扑图、系统架构图等随时可查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6" w:name="_Toc32137"/>
      <w:bookmarkStart w:id="77" w:name="heading_29"/>
      <w:r>
        <w:t>关键绩效指标（KPI）</w:t>
      </w:r>
      <w:bookmarkEnd w:id="76"/>
    </w:p>
    <w:p>
      <w:pPr>
        <w:pStyle w:val="a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78" w:name="_Toc4613"/>
      <w:r>
        <w:rPr>
          <w:rFonts w:hint="default"/>
          <w:lang w:val="en-US" w:eastAsia="zh-CN"/>
        </w:rPr>
        <w:t xml:space="preserve"> </w:t>
      </w:r>
      <w:r>
        <w:t>KPI指标表</w:t>
      </w:r>
      <w:bookmarkEnd w:id="78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85"/>
        <w:gridCol w:w="964"/>
        <w:gridCol w:w="3020"/>
        <w:gridCol w:w="1205"/>
        <w:gridCol w:w="120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绩效指标</w:t>
            </w:r>
          </w:p>
        </w:tc>
        <w:tc>
          <w:tcPr>
            <w:tcW w:w="96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目标值</w:t>
            </w:r>
          </w:p>
        </w:tc>
        <w:tc>
          <w:tcPr>
            <w:tcW w:w="301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衡量方式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考核频度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责任部门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both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应急演练次数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Fonts w:eastAsia="宋体" w:hint="default"/>
                <w:lang w:val="en-US" w:eastAsia="zh-CN"/>
              </w:rPr>
            </w:pPr>
            <w:r>
              <w:t>≥</w:t>
            </w:r>
            <w:r>
              <w:rPr>
                <w:rFonts w:hint="eastAsia"/>
                <w:lang w:val="en-US" w:eastAsia="zh-CN"/>
              </w:rPr>
              <w:t>1次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left"/>
              <w:textAlignment w:val="baseline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数量，应急演练报告数量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年度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</w:pPr>
            <w:r>
              <w:t>运维部</w:t>
            </w:r>
          </w:p>
        </w:tc>
      </w:tr>
    </w:tbl>
    <w:p>
      <w:pPr>
        <w:pStyle w:val="a2"/>
        <w:bidi w:val="0"/>
      </w:pPr>
    </w:p>
    <w:p>
      <w:pPr>
        <w:pStyle w:val="1"/>
        <w:bidi w:val="0"/>
      </w:pPr>
      <w:bookmarkStart w:id="79" w:name="_Toc7649"/>
      <w:r>
        <w:t>记录与归档</w:t>
      </w:r>
      <w:bookmarkEnd w:id="77"/>
      <w:bookmarkEnd w:id="79"/>
    </w:p>
    <w:p>
      <w:pPr>
        <w:pStyle w:val="a2"/>
        <w:bidi w:val="0"/>
      </w:pPr>
      <w:r>
        <w:t>应急管理过程中产生的各类记录应妥善保存，以备追溯和审计。</w:t>
      </w:r>
    </w:p>
    <w:p>
      <w:pPr>
        <w:pStyle w:val="a4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STYLEREF "柴_标题1"\n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0" w:name="_Toc1185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记录归档要求表</w:t>
      </w:r>
      <w:bookmarkEnd w:id="80"/>
    </w:p>
    <w:tbl>
      <w:tblPr>
        <w:tblStyle w:val="TableNormal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4612"/>
        <w:gridCol w:w="1955"/>
        <w:gridCol w:w="1955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461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记录名称</w:t>
            </w:r>
          </w:p>
        </w:tc>
        <w:tc>
          <w:tcPr>
            <w:tcW w:w="19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保存责任</w:t>
            </w:r>
          </w:p>
        </w:tc>
        <w:tc>
          <w:tcPr>
            <w:tcW w:w="195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等线"/>
                <w:b/>
                <w:sz w:val="22"/>
              </w:rPr>
            </w:pPr>
            <w:r>
              <w:rPr>
                <w:rFonts w:ascii="Arial" w:eastAsia="等线" w:hAnsi="Arial" w:cs="Arial"/>
                <w:b/>
                <w:sz w:val="22"/>
              </w:rPr>
              <w:t>保存期限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6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《风险评估报告》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6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《应急预案》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长期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6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《应急演练计划》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6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《应急演练总结报告》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61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《应急事件处置报告》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5年</w:t>
            </w:r>
          </w:p>
        </w:tc>
      </w:tr>
      <w:tr>
        <w:tblPrEx>
          <w:tblW w:w="8522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461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《应急事件复盘报告》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运维部</w:t>
            </w:r>
          </w:p>
        </w:tc>
        <w:tc>
          <w:tcPr>
            <w:tcW w:w="19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5年</w:t>
            </w:r>
          </w:p>
        </w:tc>
      </w:tr>
    </w:tbl>
    <w:p>
      <w:pPr>
        <w:pStyle w:val="1"/>
        <w:bidi w:val="0"/>
      </w:pPr>
      <w:bookmarkStart w:id="81" w:name="heading_30"/>
      <w:bookmarkStart w:id="82" w:name="_Toc7023"/>
      <w:r>
        <w:t>相关文件</w:t>
      </w:r>
      <w:bookmarkEnd w:id="81"/>
      <w:bookmarkEnd w:id="82"/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《事件管理程序》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《问题管理程序》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《变更管理程序》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《服务可用性和连续性管理制度》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《信息安全管理程序》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《服务交付规范》</w:t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74EECAAF"/>
    <w:multiLevelType w:val="singleLevel"/>
    <w:tmpl w:val="74EECAA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1961</Words>
  <Characters>2216</Characters>
  <Application>Microsoft Office Word</Application>
  <DocSecurity>0</DocSecurity>
  <Lines>0</Lines>
  <Paragraphs>0</Paragraphs>
  <ScaleCrop>false</ScaleCrop>
  <Company/>
  <LinksUpToDate>false</LinksUpToDate>
  <CharactersWithSpaces>2441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2026-04-06T20:12:40Z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