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B3084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1872"/>
      </w:pPr>
      <w:r>
        <w:t>数飞科技(宁波)有限公司</w:t>
      </w:r>
    </w:p>
    <w:p w14:paraId="07D10E5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2808"/>
        <w:rPr>
          <w:rFonts w:hint="eastAsia"/>
        </w:rPr>
      </w:pPr>
      <w:r>
        <w:t>应急工作总结报告</w:t>
      </w:r>
    </w:p>
    <w:p w14:paraId="7A20305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  <w:jc w:val="center"/>
      </w:pPr>
      <w:r>
        <w:t>（报告期：2026年1月1日 — 2026年7月31日）</w:t>
      </w:r>
    </w:p>
    <w:p w14:paraId="3FEC5D4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1900"/>
        <w:ind w:firstLine="480"/>
        <w:jc w:val="center"/>
      </w:pPr>
      <w:r>
        <w:t>含《国泰新点大OA系统运维服务项目》应急管理情况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4E40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C3C3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28AF5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SFKJ-ITSS-1006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DAE62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BB7E2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V1.0</w:t>
            </w:r>
          </w:p>
        </w:tc>
      </w:tr>
      <w:tr w14:paraId="62710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D2354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538F3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AAB68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2A43A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2026.7.31</w:t>
            </w:r>
          </w:p>
        </w:tc>
      </w:tr>
      <w:tr w14:paraId="120D1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90DC3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5C95F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F25E8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32233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2026.7.31</w:t>
            </w:r>
          </w:p>
        </w:tc>
      </w:tr>
      <w:tr w14:paraId="45C96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FC983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67919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48A55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FB0A5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2026.7.31</w:t>
            </w:r>
          </w:p>
        </w:tc>
      </w:tr>
      <w:tr w14:paraId="0D45D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A2F15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115ED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70157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F4CC1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2026.7.31</w:t>
            </w:r>
          </w:p>
        </w:tc>
      </w:tr>
    </w:tbl>
    <w:p w14:paraId="4C69460E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7DB15B87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2"/>
        <w:jc w:val="center"/>
      </w:pPr>
      <w:r>
        <w:rPr>
          <w:b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37759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13F1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DD7F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3795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40C6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C8B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备注</w:t>
            </w:r>
          </w:p>
        </w:tc>
      </w:tr>
      <w:tr w14:paraId="7428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0911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V1.0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AE08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/>
                <w:lang w:eastAsia="zh-CN"/>
              </w:rPr>
              <w:t>2026.7.31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50F6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C091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616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auto"/>
                <w:sz w:val="24"/>
                <w:szCs w:val="24"/>
                <w:shd w:val="clear" w:color="auto" w:fill="FFFFFF"/>
                <w:lang w:eastAsia="zh-CN"/>
              </w:rPr>
            </w:pPr>
          </w:p>
        </w:tc>
      </w:tr>
      <w:tr w14:paraId="2C916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5641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D0B6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AB0A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C34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839E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</w:tr>
      <w:tr w14:paraId="2FBCF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6EF2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27A3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8A8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6499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1CC7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</w:tr>
      <w:tr w14:paraId="0BB11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AAC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0694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38CE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1580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AE3C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line="240" w:lineRule="auto"/>
              <w:jc w:val="center"/>
              <w:rPr>
                <w:rStyle w:val="25"/>
                <w:rFonts w:hint="eastAsia" w:ascii="微软雅黑" w:hAnsi="微软雅黑" w:eastAsia="微软雅黑" w:cs="微软雅黑"/>
                <w:b w:val="0"/>
                <w:bCs/>
                <w:color w:val="666666"/>
                <w:sz w:val="24"/>
                <w:szCs w:val="24"/>
                <w:shd w:val="clear" w:color="auto" w:fill="FFFFFF"/>
                <w:lang w:eastAsia="zh-CN"/>
              </w:rPr>
            </w:pPr>
          </w:p>
        </w:tc>
      </w:tr>
    </w:tbl>
    <w:p w14:paraId="24D749F3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723CB21C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  <w:jc w:val="center"/>
      </w:pPr>
      <w:r>
        <w:t>目录</w:t>
      </w:r>
    </w:p>
    <w:p w14:paraId="7CDAE9F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_Toc5698 </w:instrText>
      </w:r>
      <w:r>
        <w:fldChar w:fldCharType="separate"/>
      </w:r>
      <w:r>
        <w:t>1 报告概述</w:t>
      </w:r>
      <w:r>
        <w:tab/>
      </w:r>
      <w:r>
        <w:fldChar w:fldCharType="begin"/>
      </w:r>
      <w:r>
        <w:instrText xml:space="preserve"> PAGEREF _Toc5698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E983C5C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_Toc10449 </w:instrText>
      </w:r>
      <w:r>
        <w:fldChar w:fldCharType="separate"/>
      </w:r>
      <w:r>
        <w:t>1.1 报告基本信息</w:t>
      </w:r>
      <w:r>
        <w:tab/>
      </w:r>
      <w:r>
        <w:fldChar w:fldCharType="begin"/>
      </w:r>
      <w:r>
        <w:instrText xml:space="preserve"> PAGEREF _Toc10449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49A565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_Toc30767 </w:instrText>
      </w:r>
      <w:r>
        <w:fldChar w:fldCharType="separate"/>
      </w:r>
      <w:r>
        <w:t>1.2 报告目的</w:t>
      </w:r>
      <w:r>
        <w:tab/>
      </w:r>
      <w:r>
        <w:fldChar w:fldCharType="begin"/>
      </w:r>
      <w:r>
        <w:instrText xml:space="preserve"> PAGEREF _Toc30767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27A19C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_Toc1441 </w:instrText>
      </w:r>
      <w:r>
        <w:fldChar w:fldCharType="separate"/>
      </w:r>
      <w:r>
        <w:t>2 应急管理体系建设情况</w:t>
      </w:r>
      <w:r>
        <w:tab/>
      </w:r>
      <w:r>
        <w:fldChar w:fldCharType="begin"/>
      </w:r>
      <w:r>
        <w:instrText xml:space="preserve"> PAGEREF _Toc1441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AE7EE7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_Toc30875 </w:instrText>
      </w:r>
      <w:r>
        <w:fldChar w:fldCharType="separate"/>
      </w:r>
      <w:r>
        <w:t>2.1 公司应急管理组织架构</w:t>
      </w:r>
      <w:r>
        <w:tab/>
      </w:r>
      <w:r>
        <w:fldChar w:fldCharType="begin"/>
      </w:r>
      <w:r>
        <w:instrText xml:space="preserve"> PAGEREF _Toc30875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DCBBF0A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_Toc25583 </w:instrText>
      </w:r>
      <w:r>
        <w:fldChar w:fldCharType="separate"/>
      </w:r>
      <w:r>
        <w:t>2.2 应急管理制度体系</w:t>
      </w:r>
      <w:r>
        <w:tab/>
      </w:r>
      <w:r>
        <w:fldChar w:fldCharType="begin"/>
      </w:r>
      <w:r>
        <w:instrText xml:space="preserve"> PAGEREF _Toc25583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C29257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_Toc21152 </w:instrText>
      </w:r>
      <w:r>
        <w:fldChar w:fldCharType="separate"/>
      </w:r>
      <w:r>
        <w:t>2.3 公司应急预案体系</w:t>
      </w:r>
      <w:r>
        <w:tab/>
      </w:r>
      <w:r>
        <w:fldChar w:fldCharType="begin"/>
      </w:r>
      <w:r>
        <w:instrText xml:space="preserve"> PAGEREF _Toc21152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50C549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_Toc15408 </w:instrText>
      </w:r>
      <w:r>
        <w:fldChar w:fldCharType="separate"/>
      </w:r>
      <w:r>
        <w:t>2.4 大OA项目应急管理部署（项目级说明）</w:t>
      </w:r>
      <w:r>
        <w:tab/>
      </w:r>
      <w:r>
        <w:fldChar w:fldCharType="begin"/>
      </w:r>
      <w:r>
        <w:instrText xml:space="preserve"> PAGEREF _Toc15408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A2AD1D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_Toc18304 </w:instrText>
      </w:r>
      <w:r>
        <w:fldChar w:fldCharType="separate"/>
      </w:r>
      <w:r>
        <w:t>3 应急演练开展情况</w:t>
      </w:r>
      <w:r>
        <w:tab/>
      </w:r>
      <w:r>
        <w:fldChar w:fldCharType="begin"/>
      </w:r>
      <w:r>
        <w:instrText xml:space="preserve"> PAGEREF _Toc18304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EFC1E1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_Toc21187 </w:instrText>
      </w:r>
      <w:r>
        <w:fldChar w:fldCharType="separate"/>
      </w:r>
      <w:r>
        <w:t>3.1 公司演练总体情况</w:t>
      </w:r>
      <w:r>
        <w:tab/>
      </w:r>
      <w:r>
        <w:fldChar w:fldCharType="begin"/>
      </w:r>
      <w:r>
        <w:instrText xml:space="preserve"> PAGEREF _Toc21187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E7B0C38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_Toc22998 </w:instrText>
      </w:r>
      <w:r>
        <w:fldChar w:fldCharType="separate"/>
      </w:r>
      <w:r>
        <w:t>3.2 大OA项目演练实施情况（项目级说明）</w:t>
      </w:r>
      <w:r>
        <w:tab/>
      </w:r>
      <w:r>
        <w:fldChar w:fldCharType="begin"/>
      </w:r>
      <w:r>
        <w:instrText xml:space="preserve"> PAGEREF _Toc22998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59472C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_Toc30904 </w:instrText>
      </w:r>
      <w:r>
        <w:fldChar w:fldCharType="separate"/>
      </w:r>
      <w:r>
        <w:t>3.3 演练场景执行情况</w:t>
      </w:r>
      <w:r>
        <w:tab/>
      </w:r>
      <w:r>
        <w:fldChar w:fldCharType="begin"/>
      </w:r>
      <w:r>
        <w:instrText xml:space="preserve"> PAGEREF _Toc30904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CB59AC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_Toc13230 </w:instrText>
      </w:r>
      <w:r>
        <w:fldChar w:fldCharType="separate"/>
      </w:r>
      <w:r>
        <w:t>3.4 演练评估结果</w:t>
      </w:r>
      <w:r>
        <w:tab/>
      </w:r>
      <w:r>
        <w:fldChar w:fldCharType="begin"/>
      </w:r>
      <w:r>
        <w:instrText xml:space="preserve"> PAGEREF _Toc13230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EC6CF8B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_Toc24618 </w:instrText>
      </w:r>
      <w:r>
        <w:fldChar w:fldCharType="separate"/>
      </w:r>
      <w:r>
        <w:t>4 应急事件处置情况</w:t>
      </w:r>
      <w:r>
        <w:tab/>
      </w:r>
      <w:r>
        <w:fldChar w:fldCharType="begin"/>
      </w:r>
      <w:r>
        <w:instrText xml:space="preserve"> PAGEREF _Toc24618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7367E4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_Toc5645 </w:instrText>
      </w:r>
      <w:r>
        <w:fldChar w:fldCharType="separate"/>
      </w:r>
      <w:r>
        <w:t>4.1 公司应急事件总体情况</w:t>
      </w:r>
      <w:r>
        <w:tab/>
      </w:r>
      <w:r>
        <w:fldChar w:fldCharType="begin"/>
      </w:r>
      <w:r>
        <w:instrText xml:space="preserve"> PAGEREF _Toc5645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18896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_Toc2067 </w:instrText>
      </w:r>
      <w:r>
        <w:fldChar w:fldCharType="separate"/>
      </w:r>
      <w:r>
        <w:t>4.2 大OA项目应急事件处置情况（项目级说明）</w:t>
      </w:r>
      <w:r>
        <w:tab/>
      </w:r>
      <w:r>
        <w:fldChar w:fldCharType="begin"/>
      </w:r>
      <w:r>
        <w:instrText xml:space="preserve"> PAGEREF _Toc2067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F8698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_Toc26082 </w:instrText>
      </w:r>
      <w:r>
        <w:fldChar w:fldCharType="separate"/>
      </w:r>
      <w:r>
        <w:t>5 应急保障能力建设</w:t>
      </w:r>
      <w:r>
        <w:tab/>
      </w:r>
      <w:r>
        <w:fldChar w:fldCharType="begin"/>
      </w:r>
      <w:r>
        <w:instrText xml:space="preserve"> PAGEREF _Toc26082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EB8E83B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_Toc9212 </w:instrText>
      </w:r>
      <w:r>
        <w:fldChar w:fldCharType="separate"/>
      </w:r>
      <w:r>
        <w:t>5.1 公司应急队伍保障</w:t>
      </w:r>
      <w:r>
        <w:tab/>
      </w:r>
      <w:r>
        <w:fldChar w:fldCharType="begin"/>
      </w:r>
      <w:r>
        <w:instrText xml:space="preserve"> PAGEREF _Toc9212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7F8BD0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_Toc18827 </w:instrText>
      </w:r>
      <w:r>
        <w:fldChar w:fldCharType="separate"/>
      </w:r>
      <w:r>
        <w:t>5.2 应急物资与备件保障</w:t>
      </w:r>
      <w:r>
        <w:tab/>
      </w:r>
      <w:r>
        <w:fldChar w:fldCharType="begin"/>
      </w:r>
      <w:r>
        <w:instrText xml:space="preserve"> PAGEREF _Toc18827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112EA25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_Toc17916 </w:instrText>
      </w:r>
      <w:r>
        <w:fldChar w:fldCharType="separate"/>
      </w:r>
      <w:r>
        <w:t>5.3 监控预警保障</w:t>
      </w:r>
      <w:r>
        <w:tab/>
      </w:r>
      <w:r>
        <w:fldChar w:fldCharType="begin"/>
      </w:r>
      <w:r>
        <w:instrText xml:space="preserve"> PAGEREF _Toc17916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6A4FE5C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_Toc9023 </w:instrText>
      </w:r>
      <w:r>
        <w:fldChar w:fldCharType="separate"/>
      </w:r>
      <w:r>
        <w:t>6 发现的问题与改进措施</w:t>
      </w:r>
      <w:r>
        <w:tab/>
      </w:r>
      <w:r>
        <w:fldChar w:fldCharType="begin"/>
      </w:r>
      <w:r>
        <w:instrText xml:space="preserve"> PAGEREF _Toc9023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D07558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_Toc1505 </w:instrText>
      </w:r>
      <w:r>
        <w:fldChar w:fldCharType="separate"/>
      </w:r>
      <w:r>
        <w:t>6.1 主要问题</w:t>
      </w:r>
      <w:r>
        <w:tab/>
      </w:r>
      <w:r>
        <w:fldChar w:fldCharType="begin"/>
      </w:r>
      <w:r>
        <w:instrText xml:space="preserve"> PAGEREF _Toc1505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0DF6CFB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_Toc22567 </w:instrText>
      </w:r>
      <w:r>
        <w:fldChar w:fldCharType="separate"/>
      </w:r>
      <w:r>
        <w:t>6.2 改进措施</w:t>
      </w:r>
      <w:r>
        <w:tab/>
      </w:r>
      <w:r>
        <w:fldChar w:fldCharType="begin"/>
      </w:r>
      <w:r>
        <w:instrText xml:space="preserve"> PAGEREF _Toc22567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F0822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_Toc30334 </w:instrText>
      </w:r>
      <w:r>
        <w:fldChar w:fldCharType="separate"/>
      </w:r>
      <w:r>
        <w:t>7 应急预案修订情况</w:t>
      </w:r>
      <w:r>
        <w:tab/>
      </w:r>
      <w:r>
        <w:fldChar w:fldCharType="begin"/>
      </w:r>
      <w:r>
        <w:instrText xml:space="preserve"> PAGEREF _Toc30334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AF038A2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_Toc4336 </w:instrText>
      </w:r>
      <w:r>
        <w:fldChar w:fldCharType="separate"/>
      </w:r>
      <w:r>
        <w:t>8 下阶段工作计划</w:t>
      </w:r>
      <w:r>
        <w:tab/>
      </w:r>
      <w:r>
        <w:fldChar w:fldCharType="begin"/>
      </w:r>
      <w:r>
        <w:instrText xml:space="preserve"> PAGEREF _Toc4336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8EE7F3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_Toc615 </w:instrText>
      </w:r>
      <w:r>
        <w:fldChar w:fldCharType="separate"/>
      </w:r>
      <w:r>
        <w:t>9 总结</w:t>
      </w:r>
      <w:r>
        <w:tab/>
      </w:r>
      <w:r>
        <w:fldChar w:fldCharType="begin"/>
      </w:r>
      <w:r>
        <w:instrText xml:space="preserve"> PAGEREF _Toc615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4B0C73D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fldChar w:fldCharType="end"/>
      </w:r>
    </w:p>
    <w:p w14:paraId="0CD82988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5BBE0CF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  <w:jc w:val="center"/>
      </w:pPr>
      <w:r>
        <w:t>表目录</w:t>
      </w:r>
    </w:p>
    <w:p w14:paraId="0B97F9D5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TOC \t "ReportTableCaption,1" \h \z </w:instrText>
      </w:r>
      <w:r>
        <w:fldChar w:fldCharType="separate"/>
      </w:r>
      <w:r>
        <w:fldChar w:fldCharType="begin"/>
      </w:r>
      <w:r>
        <w:instrText xml:space="preserve"> HYPERLINK \l _Toc32748 </w:instrText>
      </w:r>
      <w:r>
        <w:fldChar w:fldCharType="separate"/>
      </w:r>
      <w:r>
        <w:rPr>
          <w:rFonts w:ascii="Arial" w:hAnsi="Arial"/>
        </w:rPr>
        <w:t>表1-1 报告基本信息表</w:t>
      </w:r>
      <w:r>
        <w:tab/>
      </w:r>
      <w:r>
        <w:fldChar w:fldCharType="begin"/>
      </w:r>
      <w:r>
        <w:instrText xml:space="preserve"> PAGEREF _Toc32748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35F8F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_Toc10511 </w:instrText>
      </w:r>
      <w:r>
        <w:fldChar w:fldCharType="separate"/>
      </w:r>
      <w:r>
        <w:rPr>
          <w:rFonts w:ascii="Arial" w:hAnsi="Arial"/>
        </w:rPr>
        <w:t>表2-2 大OA项目应急管理文件表</w:t>
      </w:r>
      <w:r>
        <w:tab/>
      </w:r>
      <w:r>
        <w:fldChar w:fldCharType="begin"/>
      </w:r>
      <w:r>
        <w:instrText xml:space="preserve"> PAGEREF _Toc10511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5F46F1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_Toc30959 </w:instrText>
      </w:r>
      <w:r>
        <w:fldChar w:fldCharType="separate"/>
      </w:r>
      <w:r>
        <w:rPr>
          <w:rFonts w:ascii="Arial" w:hAnsi="Arial"/>
        </w:rPr>
        <w:t>表3-1 演练基本信息表</w:t>
      </w:r>
      <w:r>
        <w:tab/>
      </w:r>
      <w:r>
        <w:fldChar w:fldCharType="begin"/>
      </w:r>
      <w:r>
        <w:instrText xml:space="preserve"> PAGEREF _Toc30959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ADB28C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_Toc4961 </w:instrText>
      </w:r>
      <w:r>
        <w:fldChar w:fldCharType="separate"/>
      </w:r>
      <w:r>
        <w:rPr>
          <w:rFonts w:ascii="Arial" w:hAnsi="Arial"/>
        </w:rPr>
        <w:t>表3-2 演练场景执行情况表</w:t>
      </w:r>
      <w:r>
        <w:tab/>
      </w:r>
      <w:r>
        <w:fldChar w:fldCharType="begin"/>
      </w:r>
      <w:r>
        <w:instrText xml:space="preserve"> PAGEREF _Toc4961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7F79D9E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_Toc8712 </w:instrText>
      </w:r>
      <w:r>
        <w:fldChar w:fldCharType="separate"/>
      </w:r>
      <w:r>
        <w:rPr>
          <w:rFonts w:ascii="Arial" w:hAnsi="Arial"/>
        </w:rPr>
        <w:t>表3-3 演练场景评估得分表</w:t>
      </w:r>
      <w:r>
        <w:tab/>
      </w:r>
      <w:r>
        <w:fldChar w:fldCharType="begin"/>
      </w:r>
      <w:r>
        <w:instrText xml:space="preserve"> PAGEREF _Toc8712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64054E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_Toc10127 </w:instrText>
      </w:r>
      <w:r>
        <w:fldChar w:fldCharType="separate"/>
      </w:r>
      <w:r>
        <w:rPr>
          <w:rFonts w:ascii="Arial" w:hAnsi="Arial"/>
        </w:rPr>
        <w:t>表4-1 大OA项目应急事件统计表</w:t>
      </w:r>
      <w:r>
        <w:tab/>
      </w:r>
      <w:r>
        <w:fldChar w:fldCharType="begin"/>
      </w:r>
      <w:r>
        <w:instrText xml:space="preserve"> PAGEREF _Toc10127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D00799B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_Toc24631 </w:instrText>
      </w:r>
      <w:r>
        <w:fldChar w:fldCharType="separate"/>
      </w:r>
      <w:r>
        <w:rPr>
          <w:rFonts w:ascii="Arial" w:hAnsi="Arial"/>
        </w:rPr>
        <w:t>表5-1 大OA项目主要应急物资表</w:t>
      </w:r>
      <w:r>
        <w:tab/>
      </w:r>
      <w:r>
        <w:fldChar w:fldCharType="begin"/>
      </w:r>
      <w:r>
        <w:instrText xml:space="preserve"> PAGEREF _Toc24631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2CDB738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_Toc375 </w:instrText>
      </w:r>
      <w:r>
        <w:fldChar w:fldCharType="separate"/>
      </w:r>
      <w:r>
        <w:rPr>
          <w:rFonts w:ascii="Arial" w:hAnsi="Arial"/>
        </w:rPr>
        <w:t>表6-1 主要问题表</w:t>
      </w:r>
      <w:r>
        <w:tab/>
      </w:r>
      <w:r>
        <w:fldChar w:fldCharType="begin"/>
      </w:r>
      <w:r>
        <w:instrText xml:space="preserve"> PAGEREF _Toc375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4977AF7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_Toc1853 </w:instrText>
      </w:r>
      <w:r>
        <w:fldChar w:fldCharType="separate"/>
      </w:r>
      <w:r>
        <w:rPr>
          <w:rFonts w:ascii="Arial" w:hAnsi="Arial"/>
        </w:rPr>
        <w:t>表6-2 改进措施表</w:t>
      </w:r>
      <w:r>
        <w:tab/>
      </w:r>
      <w:r>
        <w:fldChar w:fldCharType="begin"/>
      </w:r>
      <w:r>
        <w:instrText xml:space="preserve"> PAGEREF _Toc1853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A51695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_Toc6092 </w:instrText>
      </w:r>
      <w:r>
        <w:fldChar w:fldCharType="separate"/>
      </w:r>
      <w:r>
        <w:rPr>
          <w:rFonts w:ascii="Arial" w:hAnsi="Arial"/>
        </w:rPr>
        <w:t>表7-1 应急预案修订内容表</w:t>
      </w:r>
      <w:r>
        <w:tab/>
      </w:r>
      <w:r>
        <w:fldChar w:fldCharType="begin"/>
      </w:r>
      <w:r>
        <w:instrText xml:space="preserve"> PAGEREF _Toc6092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68AC028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fldChar w:fldCharType="end"/>
      </w:r>
    </w:p>
    <w:p w14:paraId="13FA711C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09D209F4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0" w:name="_Toc5698"/>
      <w:r>
        <w:t>1 报告概述</w:t>
      </w:r>
      <w:bookmarkEnd w:id="0"/>
    </w:p>
    <w:p w14:paraId="59D493C1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1" w:name="_Toc10449"/>
      <w:r>
        <w:t>1.1 报告基本信息</w:t>
      </w:r>
      <w:bookmarkEnd w:id="1"/>
    </w:p>
    <w:p w14:paraId="4B354335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2" w:name="_Toc32748"/>
      <w:r>
        <w:rPr>
          <w:rFonts w:ascii="Arial" w:hAnsi="Arial"/>
          <w:sz w:val="24"/>
        </w:rPr>
        <w:t>表1-1 报告基本信息表</w:t>
      </w:r>
      <w:bookmarkEnd w:id="2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265"/>
      </w:tblGrid>
      <w:tr w14:paraId="29FAC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17E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项目</w:t>
            </w:r>
          </w:p>
        </w:tc>
        <w:tc>
          <w:tcPr>
            <w:tcW w:w="626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D5F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内容</w:t>
            </w:r>
          </w:p>
        </w:tc>
      </w:tr>
      <w:tr w14:paraId="4E619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0A7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报告名称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62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数飞科技(宁波)有限公司应急工作总结报告</w:t>
            </w:r>
          </w:p>
        </w:tc>
      </w:tr>
      <w:tr w14:paraId="0D426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C79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报告周期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83D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2026年1月1日 - 2026年7月31日</w:t>
            </w:r>
          </w:p>
        </w:tc>
      </w:tr>
      <w:tr w14:paraId="65C0D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99B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报告类型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C5D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公司级阶段性应急工作总结报告</w:t>
            </w:r>
          </w:p>
        </w:tc>
      </w:tr>
      <w:tr w14:paraId="30839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F80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报告责任人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2E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运维部经理</w:t>
            </w:r>
          </w:p>
        </w:tc>
      </w:tr>
      <w:tr w14:paraId="1DA1B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411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报告审核人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76B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副总经理</w:t>
            </w:r>
          </w:p>
        </w:tc>
      </w:tr>
    </w:tbl>
    <w:p w14:paraId="607A8632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3" w:name="_Toc30767"/>
      <w:r>
        <w:t>1.2 报告目的</w:t>
      </w:r>
      <w:bookmarkEnd w:id="3"/>
    </w:p>
    <w:p w14:paraId="577B23C0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本报告旨在总结数飞科技(宁波)有限公司（以下简称"公司"）自2026年1月1日至2026年7月31日期间的应急管理工作开展情况，包括公司应急管理体系建设、应急演练实施、应急事件处置、应急保障能力建设等方面，评估公司应急管理目标达成情况，分析存在的问题与不足，提出改进措施，为下阶段应急管理工作提供依据，确保公司整体应急保障能力持续满足客户服务级别协议（SLA）要求。</w:t>
      </w:r>
    </w:p>
    <w:p w14:paraId="2A1752B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报告期内，公司承接的《国泰新点大OA系统运维服务项目》（以下简称"大OA项目"）为在管重点项目，本报告在总结公司应急管理整体情况的基础上，对该项目的应急管理实施情况作专项说明。</w:t>
      </w:r>
    </w:p>
    <w:p w14:paraId="5BCC3740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4" w:name="_Toc1441"/>
      <w:r>
        <w:t>2 应急管理体系建设情况</w:t>
      </w:r>
      <w:bookmarkEnd w:id="4"/>
    </w:p>
    <w:p w14:paraId="4470821E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5" w:name="_Toc30875"/>
      <w:r>
        <w:t>2.1 公司应急管理组织架构</w:t>
      </w:r>
      <w:bookmarkEnd w:id="5"/>
    </w:p>
    <w:p w14:paraId="7FD538B6">
      <w:pPr>
        <w:pStyle w:val="33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成立</w:t>
      </w:r>
      <w:r>
        <w:rPr>
          <w:rFonts w:ascii="宋体" w:hAnsi="宋体" w:eastAsia="宋体" w:cs="宋体"/>
          <w:sz w:val="24"/>
          <w:szCs w:val="24"/>
        </w:rPr>
        <w:t>副总经理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领导的应急管理部，</w:t>
      </w:r>
      <w:r>
        <w:rPr>
          <w:rFonts w:ascii="宋体" w:hAnsi="宋体" w:eastAsia="宋体" w:cs="宋体"/>
          <w:sz w:val="24"/>
          <w:szCs w:val="24"/>
        </w:rPr>
        <w:t>该部门不单独设置实体编制，主要统筹相关部门资源，负责重大突发事件的应急响应与协调处置，保障业务连续性和服务可用性，确保突发情况下能够快速恢复服务，最大限度降低业务影响。</w:t>
      </w:r>
    </w:p>
    <w:p w14:paraId="5C176FB1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6" w:name="_Toc25583"/>
      <w:r>
        <w:t>2.2 应急管理制度体系</w:t>
      </w:r>
      <w:bookmarkEnd w:id="6"/>
    </w:p>
    <w:p w14:paraId="0A24C56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公司依据ITSS运维服务能力管理体系要求，建立了完善的应急管理制度体系，包括《运维服务应急管理制度》</w:t>
      </w:r>
      <w:r>
        <w:rPr>
          <w:rFonts w:hint="eastAsia"/>
          <w:lang w:val="en-US" w:eastAsia="zh-CN"/>
        </w:rPr>
        <w:t>包括：</w:t>
      </w:r>
      <w:r>
        <w:t>应急演练管理办法</w:t>
      </w:r>
      <w:r>
        <w:rPr>
          <w:rFonts w:hint="eastAsia"/>
          <w:lang w:eastAsia="zh-CN"/>
        </w:rPr>
        <w:t>、</w:t>
      </w:r>
      <w:r>
        <w:t>应急事件分级与报</w:t>
      </w:r>
      <w:r>
        <w:rPr>
          <w:rFonts w:hint="eastAsia"/>
          <w:lang w:val="en-US" w:eastAsia="zh-CN"/>
        </w:rPr>
        <w:t>告、</w:t>
      </w:r>
      <w:r>
        <w:t>应急预案管理等，明确应急管理职责分工、事件分级标准、响应时效要求和报告流程，为各项目应急管理提供制度依据。</w:t>
      </w:r>
    </w:p>
    <w:p w14:paraId="3FB69E32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7" w:name="_Toc21152"/>
      <w:r>
        <w:t>2.3 公司应急预案体系</w:t>
      </w:r>
      <w:bookmarkEnd w:id="7"/>
    </w:p>
    <w:p w14:paraId="5BDFB576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公司建立"应急</w:t>
      </w:r>
      <w:r>
        <w:rPr>
          <w:rFonts w:hint="eastAsia"/>
          <w:lang w:val="en-US" w:eastAsia="zh-CN"/>
        </w:rPr>
        <w:t>演练</w:t>
      </w:r>
      <w:r>
        <w:t>预案+</w:t>
      </w:r>
      <w:r>
        <w:rPr>
          <w:rFonts w:hint="eastAsia"/>
          <w:lang w:val="en-US" w:eastAsia="zh-CN"/>
        </w:rPr>
        <w:t>应急演练大纲</w:t>
      </w:r>
      <w:r>
        <w:t>+</w:t>
      </w:r>
      <w:r>
        <w:rPr>
          <w:rFonts w:hint="eastAsia"/>
          <w:lang w:val="en-US" w:eastAsia="zh-CN"/>
        </w:rPr>
        <w:t>应急演练计划</w:t>
      </w:r>
      <w:r>
        <w:t>"三级预案体系：综合应急预案明确公司整体应急组织、响应流程和保障措施；应急</w:t>
      </w:r>
      <w:r>
        <w:rPr>
          <w:rFonts w:hint="eastAsia"/>
          <w:lang w:val="en-US" w:eastAsia="zh-CN"/>
        </w:rPr>
        <w:t>演练大纲</w:t>
      </w:r>
      <w:r>
        <w:t>覆盖数据库故障、中间件故障、服务器故障、网络中断、信息安全事件、机房断电等主要风险场景；各项目结合服务对象特点编制现场处置方案。</w:t>
      </w:r>
    </w:p>
    <w:p w14:paraId="30414CC8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8" w:name="_Toc15408"/>
      <w:r>
        <w:t>2.4 大OA项目应急管理部署（项目级说明）</w:t>
      </w:r>
      <w:bookmarkEnd w:id="8"/>
    </w:p>
    <w:p w14:paraId="542B511F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大OA项目服务对象为4套达梦数据库、7套东方通中间件及配套服务器、网络设备，项目依据公司应急管理制度，编制了覆盖数据库故障、中间件故障、服务器硬件故障、网络中断等主要风险场景的应急管理文件体系，相关文件如表2-2所示。</w:t>
      </w:r>
    </w:p>
    <w:p w14:paraId="1CD40282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9" w:name="_Toc10511"/>
      <w:r>
        <w:rPr>
          <w:rFonts w:ascii="Arial" w:hAnsi="Arial"/>
          <w:sz w:val="24"/>
        </w:rPr>
        <w:t>表2-2 大OA项目应急管理文件表</w:t>
      </w:r>
      <w:bookmarkEnd w:id="9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3770"/>
      </w:tblGrid>
      <w:tr w14:paraId="2B721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EC7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文件名称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CC9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文件编号</w:t>
            </w:r>
          </w:p>
        </w:tc>
        <w:tc>
          <w:tcPr>
            <w:tcW w:w="377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D4B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说明</w:t>
            </w:r>
          </w:p>
        </w:tc>
      </w:tr>
      <w:tr w14:paraId="0E129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C61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应急演练大纲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A4F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SFKJ-ITSS-1002</w:t>
            </w:r>
          </w:p>
        </w:tc>
        <w:tc>
          <w:tcPr>
            <w:tcW w:w="3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898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明确演练目的、范围、场景与评估标准</w:t>
            </w:r>
          </w:p>
        </w:tc>
      </w:tr>
      <w:tr w14:paraId="4D93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DDFA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应急演练预案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841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SFKJ-ITSS-1003</w:t>
            </w:r>
          </w:p>
        </w:tc>
        <w:tc>
          <w:tcPr>
            <w:tcW w:w="3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CEE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细化各场景演练流程、岗位职责与操作步骤</w:t>
            </w:r>
          </w:p>
        </w:tc>
      </w:tr>
      <w:tr w14:paraId="7AD79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739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应急演练计划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99B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SFKJ-ITSS-1004</w:t>
            </w:r>
          </w:p>
        </w:tc>
        <w:tc>
          <w:tcPr>
            <w:tcW w:w="3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A36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明确演练时间、人员、物资、日程安排</w:t>
            </w:r>
          </w:p>
        </w:tc>
      </w:tr>
      <w:tr w14:paraId="2F597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B25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应急演练报告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1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SFKJ-ITSS-1005</w:t>
            </w:r>
          </w:p>
        </w:tc>
        <w:tc>
          <w:tcPr>
            <w:tcW w:w="377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875B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演练总结评估，记录问题与改进</w:t>
            </w:r>
          </w:p>
        </w:tc>
      </w:tr>
    </w:tbl>
    <w:p w14:paraId="15777FDC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10" w:name="_Toc18304"/>
      <w:r>
        <w:t>3 应急演练开展情况</w:t>
      </w:r>
      <w:bookmarkEnd w:id="10"/>
    </w:p>
    <w:p w14:paraId="2470D930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11" w:name="_Toc21187"/>
      <w:r>
        <w:t>3.1 公司演练总体情况</w:t>
      </w:r>
      <w:bookmarkEnd w:id="11"/>
    </w:p>
    <w:p w14:paraId="1848DE1B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公司制定2026年度应急演练计划，覆盖各在管项目主要风险场景，演练类型包括实战演练与桌面推演。上半年，大OA项目按计划完成了年度应急演练，其余项目演练按计划有序推进，演练总体执行情况良好，达到验证预案、锻炼队伍的目的。</w:t>
      </w:r>
    </w:p>
    <w:p w14:paraId="3E7D7937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12" w:name="_Toc22998"/>
      <w:r>
        <w:t>3.2 大OA项目演练实施情况（项目级说明）</w:t>
      </w:r>
      <w:bookmarkEnd w:id="12"/>
    </w:p>
    <w:p w14:paraId="6EA010C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2026年6月14日（周六），大OA项目组织开展了2026年度应急演练，选择周末业务低谷期执行，演练类型为桌面推演与实战演练相结合，参演人员7人，甲方代表1人全程参与并验证业务恢复效果。演练基本信息如表3-1所示。</w:t>
      </w:r>
    </w:p>
    <w:p w14:paraId="0DB0FF1C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13" w:name="_Toc30959"/>
      <w:r>
        <w:rPr>
          <w:rFonts w:ascii="Arial" w:hAnsi="Arial"/>
          <w:sz w:val="24"/>
        </w:rPr>
        <w:t>表3-1 演练基本信息表</w:t>
      </w:r>
      <w:bookmarkEnd w:id="13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265"/>
      </w:tblGrid>
      <w:tr w14:paraId="56FA4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7940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项目</w:t>
            </w:r>
          </w:p>
        </w:tc>
        <w:tc>
          <w:tcPr>
            <w:tcW w:w="626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7065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内容</w:t>
            </w:r>
          </w:p>
        </w:tc>
      </w:tr>
      <w:tr w14:paraId="2EAB1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35A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演练项目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5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ind w:left="0" w:leftChars="0" w:right="0" w:rightChars="0" w:firstLine="0" w:firstLineChars="0"/>
              <w:jc w:val="center"/>
            </w:pPr>
            <w:r>
              <w:rPr>
                <w:rFonts w:eastAsia="等线"/>
                <w:sz w:val="22"/>
              </w:rPr>
              <w:t>国泰新点大OA系统运维服务项目</w:t>
            </w:r>
          </w:p>
        </w:tc>
      </w:tr>
      <w:tr w14:paraId="19223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57E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演练类型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495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ind w:left="0" w:leftChars="0" w:right="0" w:rightChars="0" w:firstLine="0" w:firstLineChars="0"/>
              <w:jc w:val="center"/>
            </w:pPr>
            <w:r>
              <w:rPr>
                <w:rFonts w:eastAsia="等线"/>
                <w:sz w:val="22"/>
              </w:rPr>
              <w:t>桌面推演 + 实战演练</w:t>
            </w:r>
          </w:p>
        </w:tc>
      </w:tr>
      <w:tr w14:paraId="7B15C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05F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演练日期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C1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ind w:left="0" w:leftChars="0" w:right="0" w:rightChars="0" w:firstLine="0" w:firstLineChars="0"/>
              <w:jc w:val="center"/>
            </w:pPr>
            <w:r>
              <w:rPr>
                <w:rFonts w:eastAsia="等线"/>
                <w:sz w:val="22"/>
              </w:rPr>
              <w:t>2026年6月14日（周六）</w:t>
            </w:r>
          </w:p>
        </w:tc>
      </w:tr>
      <w:tr w14:paraId="19D05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19C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演练时长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BD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ind w:left="0" w:leftChars="0" w:right="0" w:rightChars="0" w:firstLine="0" w:firstLineChars="0"/>
              <w:jc w:val="center"/>
            </w:pPr>
            <w:r>
              <w:rPr>
                <w:rFonts w:eastAsia="等线"/>
                <w:sz w:val="22"/>
              </w:rPr>
              <w:t>约5小时</w:t>
            </w:r>
          </w:p>
        </w:tc>
      </w:tr>
      <w:tr w14:paraId="7BFD1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6A5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参演人数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BC2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ind w:left="0" w:leftChars="0" w:right="0" w:rightChars="0" w:firstLine="0" w:firstLineChars="0"/>
              <w:jc w:val="center"/>
            </w:pPr>
            <w:r>
              <w:rPr>
                <w:rFonts w:eastAsia="等线"/>
                <w:sz w:val="22"/>
              </w:rPr>
              <w:t>7人</w:t>
            </w:r>
          </w:p>
        </w:tc>
      </w:tr>
      <w:tr w14:paraId="3936D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F6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客户代表</w:t>
            </w:r>
          </w:p>
        </w:tc>
        <w:tc>
          <w:tcPr>
            <w:tcW w:w="626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6CB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ind w:left="0" w:leftChars="0" w:right="0" w:rightChars="0" w:firstLine="0" w:firstLineChars="0"/>
              <w:jc w:val="center"/>
            </w:pPr>
            <w:r>
              <w:rPr>
                <w:rFonts w:eastAsia="等线"/>
                <w:sz w:val="22"/>
              </w:rPr>
              <w:t>甲方指定人员1人</w:t>
            </w:r>
          </w:p>
        </w:tc>
      </w:tr>
    </w:tbl>
    <w:p w14:paraId="0721EBFE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14" w:name="_Toc30904"/>
      <w:r>
        <w:t>3.3 演练场景执行情况</w:t>
      </w:r>
      <w:bookmarkEnd w:id="14"/>
    </w:p>
    <w:p w14:paraId="3B671B08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本次演练覆盖四个核心应急场景，全部按计划执行并在RTO目标时间内完成恢复，执行情况如表3-2所示。</w:t>
      </w:r>
    </w:p>
    <w:p w14:paraId="7D84DEBD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15" w:name="_Toc4961"/>
      <w:r>
        <w:rPr>
          <w:rFonts w:ascii="Arial" w:hAnsi="Arial"/>
          <w:sz w:val="24"/>
        </w:rPr>
        <w:t>表3-2 演练场景执行情况表</w:t>
      </w:r>
      <w:bookmarkEnd w:id="15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013"/>
        <w:gridCol w:w="1361"/>
        <w:gridCol w:w="1304"/>
        <w:gridCol w:w="1304"/>
        <w:gridCol w:w="1304"/>
      </w:tblGrid>
      <w:tr w14:paraId="6E068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FAE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场景</w:t>
            </w:r>
          </w:p>
        </w:tc>
        <w:tc>
          <w:tcPr>
            <w:tcW w:w="2013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2A49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场景名称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064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演练类型</w:t>
            </w:r>
          </w:p>
        </w:tc>
        <w:tc>
          <w:tcPr>
            <w:tcW w:w="130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E9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计划时长</w:t>
            </w:r>
          </w:p>
        </w:tc>
        <w:tc>
          <w:tcPr>
            <w:tcW w:w="130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276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实际时长</w:t>
            </w:r>
          </w:p>
        </w:tc>
        <w:tc>
          <w:tcPr>
            <w:tcW w:w="130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B30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执行结果</w:t>
            </w:r>
          </w:p>
        </w:tc>
      </w:tr>
      <w:tr w14:paraId="080A0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CAA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场景一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161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数据库故障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D9A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实战演练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DA2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60分钟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D4C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55分钟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B2E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✅ 成功</w:t>
            </w:r>
          </w:p>
        </w:tc>
      </w:tr>
      <w:tr w14:paraId="49DA2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DB2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场景二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A4EE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中间件故障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3D4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桌面推演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9CB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60分钟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D18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50分钟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DFE1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✅ 成功</w:t>
            </w:r>
          </w:p>
        </w:tc>
      </w:tr>
      <w:tr w14:paraId="0287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CE6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场景三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A60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服务器硬件故障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9E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桌面推演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8E9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45分钟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7FD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40分钟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2E8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✅ 成功</w:t>
            </w:r>
          </w:p>
        </w:tc>
      </w:tr>
      <w:tr w14:paraId="5A52B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1BA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场景四</w:t>
            </w:r>
          </w:p>
        </w:tc>
        <w:tc>
          <w:tcPr>
            <w:tcW w:w="201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982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网络中断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1F4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实战演练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4BE5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50分钟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76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45分钟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98F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✅ 成功</w:t>
            </w:r>
          </w:p>
        </w:tc>
      </w:tr>
    </w:tbl>
    <w:p w14:paraId="32D65053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16" w:name="_Toc13230"/>
      <w:r>
        <w:t>3.4 演练评估结果</w:t>
      </w:r>
      <w:bookmarkEnd w:id="16"/>
    </w:p>
    <w:p w14:paraId="62D45CE9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演练从响应及时性、处置规范性、技术操作准确性、团队协作、信息通报、恢复时效六个维度进行评估，各场景得分如表3-3所示，整体评价为优秀（96.75分），演练目标全部达成。</w:t>
      </w:r>
    </w:p>
    <w:p w14:paraId="07FD51E8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17" w:name="_Toc8712"/>
      <w:r>
        <w:rPr>
          <w:rFonts w:ascii="Arial" w:hAnsi="Arial"/>
          <w:sz w:val="24"/>
        </w:rPr>
        <w:t>表3-3 演练场景评估得分表</w:t>
      </w:r>
      <w:bookmarkEnd w:id="17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225"/>
        <w:gridCol w:w="1225"/>
        <w:gridCol w:w="1225"/>
        <w:gridCol w:w="1230"/>
      </w:tblGrid>
      <w:tr w14:paraId="19844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DD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评估项</w:t>
            </w:r>
          </w:p>
        </w:tc>
        <w:tc>
          <w:tcPr>
            <w:tcW w:w="122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A57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场景一</w:t>
            </w:r>
          </w:p>
        </w:tc>
        <w:tc>
          <w:tcPr>
            <w:tcW w:w="122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C87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场景二</w:t>
            </w:r>
          </w:p>
        </w:tc>
        <w:tc>
          <w:tcPr>
            <w:tcW w:w="122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FE8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场景三</w:t>
            </w:r>
          </w:p>
        </w:tc>
        <w:tc>
          <w:tcPr>
            <w:tcW w:w="123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D781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场景四</w:t>
            </w:r>
          </w:p>
        </w:tc>
      </w:tr>
      <w:tr w14:paraId="04066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AAF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响应及时性（20分）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3C3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ADD4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097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ED3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</w:tr>
      <w:tr w14:paraId="24422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709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处置规范性（20分）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08A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18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994F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4DE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C602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18</w:t>
            </w:r>
          </w:p>
        </w:tc>
      </w:tr>
      <w:tr w14:paraId="4C02E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80F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技术操作准确性（20分）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3DB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18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D2A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18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02F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F94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</w:t>
            </w:r>
          </w:p>
        </w:tc>
      </w:tr>
      <w:tr w14:paraId="1DBE7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B9E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团队协作（15分）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C9D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14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BD41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15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4D2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14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3EE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15</w:t>
            </w:r>
          </w:p>
        </w:tc>
      </w:tr>
      <w:tr w14:paraId="6378A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CF9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信息通报（15分）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92E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14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6BB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14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A73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EEC3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14</w:t>
            </w:r>
          </w:p>
        </w:tc>
      </w:tr>
      <w:tr w14:paraId="0DA7F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45C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恢复时效（10分）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8E7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E9B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D91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D3C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10</w:t>
            </w:r>
          </w:p>
        </w:tc>
      </w:tr>
      <w:tr w14:paraId="2C19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3E2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总分（100分）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2FF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94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E43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97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BE2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99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5DF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97</w:t>
            </w:r>
          </w:p>
        </w:tc>
      </w:tr>
      <w:tr w14:paraId="17179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4FD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评估等级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CFE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优秀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D1CF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优秀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610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优秀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3A9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优秀</w:t>
            </w:r>
          </w:p>
        </w:tc>
      </w:tr>
    </w:tbl>
    <w:p w14:paraId="7EF1E36D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18" w:name="_Toc24618"/>
      <w:r>
        <w:t>4 应急事件处置情况</w:t>
      </w:r>
      <w:bookmarkEnd w:id="18"/>
    </w:p>
    <w:p w14:paraId="20AED006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19" w:name="_Toc5645"/>
      <w:r>
        <w:t>4.1 公司应急事件总体情况</w:t>
      </w:r>
      <w:bookmarkEnd w:id="19"/>
    </w:p>
    <w:p w14:paraId="6D6F40BB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报告期内，公司各在管项目应急事件整体处于可控状态，未发生一级（重大）</w:t>
      </w:r>
      <w:r>
        <w:rPr>
          <w:rFonts w:hint="eastAsia"/>
          <w:lang w:eastAsia="zh-CN"/>
        </w:rPr>
        <w:t>；</w:t>
      </w:r>
      <w:r>
        <w:t>二级</w:t>
      </w:r>
      <w:r>
        <w:rPr>
          <w:rFonts w:hint="eastAsia"/>
          <w:lang w:val="en-US" w:eastAsia="zh-CN"/>
        </w:rPr>
        <w:t>和</w:t>
      </w:r>
      <w:r>
        <w:t>三级</w:t>
      </w:r>
      <w:bookmarkStart w:id="36" w:name="_GoBack"/>
      <w:bookmarkEnd w:id="36"/>
      <w:r>
        <w:t>事件均按流程及时响应处理，未对客户业务造成影响，公司应急管理目标全部达成。</w:t>
      </w:r>
    </w:p>
    <w:p w14:paraId="60133BDE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20" w:name="_Toc2067"/>
      <w:r>
        <w:t>4.2 大OA项目应急事件处置情况（项目级说明）</w:t>
      </w:r>
      <w:bookmarkEnd w:id="20"/>
    </w:p>
    <w:p w14:paraId="5CECB041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大OA项目报告期内应急事件统计如表4-1所示。</w:t>
      </w:r>
    </w:p>
    <w:p w14:paraId="7F328A12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21" w:name="_Toc10127"/>
      <w:r>
        <w:rPr>
          <w:rFonts w:ascii="Arial" w:hAnsi="Arial"/>
          <w:sz w:val="24"/>
        </w:rPr>
        <w:t>表4-1 大OA项目应急事件统计表</w:t>
      </w:r>
      <w:bookmarkEnd w:id="21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907"/>
        <w:gridCol w:w="1502"/>
        <w:gridCol w:w="1502"/>
        <w:gridCol w:w="1446"/>
      </w:tblGrid>
      <w:tr w14:paraId="3A6CF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DA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事件等级</w:t>
            </w:r>
          </w:p>
        </w:tc>
        <w:tc>
          <w:tcPr>
            <w:tcW w:w="181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053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定义</w:t>
            </w:r>
          </w:p>
        </w:tc>
        <w:tc>
          <w:tcPr>
            <w:tcW w:w="90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57D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发生次数</w:t>
            </w:r>
          </w:p>
        </w:tc>
        <w:tc>
          <w:tcPr>
            <w:tcW w:w="150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86C3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平均响应时间</w:t>
            </w:r>
          </w:p>
        </w:tc>
        <w:tc>
          <w:tcPr>
            <w:tcW w:w="150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015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平均恢复时间</w:t>
            </w:r>
          </w:p>
        </w:tc>
        <w:tc>
          <w:tcPr>
            <w:tcW w:w="144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9F5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是否启动预案</w:t>
            </w:r>
          </w:p>
        </w:tc>
      </w:tr>
      <w:tr w14:paraId="5993B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FF7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一级事件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F9E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服务中断，影响业务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066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0次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84B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-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9F9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-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588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否</w:t>
            </w:r>
          </w:p>
        </w:tc>
      </w:tr>
      <w:tr w14:paraId="6FD66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7C7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二级事件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A8A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性能下降，影响用户体验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791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hint="eastAsia" w:eastAsia="等线"/>
                <w:sz w:val="22"/>
                <w:lang w:val="en-US" w:eastAsia="zh-CN"/>
              </w:rPr>
              <w:t>3</w:t>
            </w:r>
            <w:r>
              <w:rPr>
                <w:rFonts w:eastAsia="等线"/>
                <w:sz w:val="22"/>
              </w:rPr>
              <w:t>次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5B6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15分钟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245C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30分钟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675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否</w:t>
            </w:r>
          </w:p>
        </w:tc>
      </w:tr>
      <w:tr w14:paraId="2E8AB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EE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三级事件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09C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预警信息，需关注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97F7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16次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DB3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30分钟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7E6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不适用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3DA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否</w:t>
            </w:r>
          </w:p>
        </w:tc>
      </w:tr>
    </w:tbl>
    <w:p w14:paraId="1A6928B6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报告期内发生的三级事件均为告警触发类事件（如数据库连接数超阈值、异常访问尝试等），项目技术处置组按预案完成排查处理，未发展为服务中断。二级事件主要为性能下降类问题，通过参数调优、连接池扩容等措施在30分钟内完成恢复，平均响应时间15分钟，满足合同约定的响应时效要求（工作日10分钟、非工作日30分钟内响应，现场运维48小时内到达）。</w:t>
      </w:r>
    </w:p>
    <w:p w14:paraId="4F4B86B0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22" w:name="_Toc26082"/>
      <w:r>
        <w:t>5 应急保障能力建设</w:t>
      </w:r>
      <w:bookmarkEnd w:id="22"/>
    </w:p>
    <w:p w14:paraId="1F7AED19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23" w:name="_Toc9212"/>
      <w:r>
        <w:t>5.1 公司应急队伍保障</w:t>
      </w:r>
      <w:bookmarkEnd w:id="23"/>
    </w:p>
    <w:p w14:paraId="49E6A5C8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公司配备专职运维团队，覆盖软件运维、硬件运维、备件管理、质量管理等岗位，关键岗位实行AB角备份；定期组织应急知识培训和演练，持续提升队伍应急处置能力。大OA项目配备专职运维人员7人，应急状态下实行7×24小时电话支持，一级告警15分钟内响应，现场运维48小时内到达。</w:t>
      </w:r>
    </w:p>
    <w:p w14:paraId="3072D15C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24" w:name="_Toc18827"/>
      <w:r>
        <w:t>5.2 应急物资与备件保障</w:t>
      </w:r>
      <w:bookmarkEnd w:id="24"/>
    </w:p>
    <w:p w14:paraId="3FD678E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公司建立备件库统一管理制度，按项目服务对象特点储备应急物资与备件。大OA项目主要应急物资如表5-1所示。</w:t>
      </w:r>
    </w:p>
    <w:p w14:paraId="21E8545D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25" w:name="_Toc24631"/>
      <w:r>
        <w:rPr>
          <w:rFonts w:ascii="Arial" w:hAnsi="Arial"/>
          <w:sz w:val="24"/>
        </w:rPr>
        <w:t>表5-1 大OA项目主要应急物资表</w:t>
      </w:r>
      <w:bookmarkEnd w:id="25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134"/>
        <w:gridCol w:w="4337"/>
      </w:tblGrid>
      <w:tr w14:paraId="5CD92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3A9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物资名称</w:t>
            </w:r>
          </w:p>
        </w:tc>
        <w:tc>
          <w:tcPr>
            <w:tcW w:w="113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A5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数量</w:t>
            </w:r>
          </w:p>
        </w:tc>
        <w:tc>
          <w:tcPr>
            <w:tcW w:w="433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8F4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用途</w:t>
            </w:r>
          </w:p>
        </w:tc>
      </w:tr>
      <w:tr w14:paraId="6262F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5EC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备用服务器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AFA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1台</w:t>
            </w:r>
          </w:p>
        </w:tc>
        <w:tc>
          <w:tcPr>
            <w:tcW w:w="4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C96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服务器硬件故障时切换使用</w:t>
            </w:r>
          </w:p>
        </w:tc>
      </w:tr>
      <w:tr w14:paraId="42F51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9442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备用网络设备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7E0D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1台</w:t>
            </w:r>
          </w:p>
        </w:tc>
        <w:tc>
          <w:tcPr>
            <w:tcW w:w="4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323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网络设备故障时替换使用</w:t>
            </w:r>
          </w:p>
        </w:tc>
      </w:tr>
      <w:tr w14:paraId="6806C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115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数据库备份介质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6D9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2套</w:t>
            </w:r>
          </w:p>
        </w:tc>
        <w:tc>
          <w:tcPr>
            <w:tcW w:w="4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1701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数据库故障时数据恢复</w:t>
            </w:r>
          </w:p>
        </w:tc>
      </w:tr>
      <w:tr w14:paraId="1B195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B52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备用线路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C6B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1条</w:t>
            </w:r>
          </w:p>
        </w:tc>
        <w:tc>
          <w:tcPr>
            <w:tcW w:w="4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B4F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主线路中断时切换使用</w:t>
            </w:r>
          </w:p>
        </w:tc>
      </w:tr>
      <w:tr w14:paraId="4A85F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0AE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网络测试工具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CA0B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1套</w:t>
            </w:r>
          </w:p>
        </w:tc>
        <w:tc>
          <w:tcPr>
            <w:tcW w:w="433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DF03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网络故障排查诊断</w:t>
            </w:r>
          </w:p>
        </w:tc>
      </w:tr>
    </w:tbl>
    <w:p w14:paraId="101F89BA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26" w:name="_Toc17916"/>
      <w:r>
        <w:t>5.3 监控预警保障</w:t>
      </w:r>
      <w:bookmarkEnd w:id="26"/>
    </w:p>
    <w:p w14:paraId="24F34B63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公司部署统一运维监控平台，实现7×24小时自动监控。大OA项目监控覆盖服务器（CPU、内存、磁盘）、网络设备（连通性）、大OA系统（服务状态）、数据库（连接数、表空间）、中间件（服务状态）等监控对象，监控频率每5分钟一次；建立三级告警分级机制，一级告警立即响应、15分钟内处理，二级告警30分钟内响应，三级告警2小时内响应，实现故障早发现、早处置。</w:t>
      </w:r>
    </w:p>
    <w:p w14:paraId="249FCBE4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27" w:name="_Toc9023"/>
      <w:r>
        <w:t>6 发现的问题与改进措施</w:t>
      </w:r>
      <w:bookmarkEnd w:id="27"/>
    </w:p>
    <w:p w14:paraId="215DA2C7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28" w:name="_Toc1505"/>
      <w:r>
        <w:t>6.1 主要问题</w:t>
      </w:r>
      <w:bookmarkEnd w:id="28"/>
    </w:p>
    <w:p w14:paraId="203A619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通过应急演练和日常应急事件处置，发现的主要问题如表6-1所示。</w:t>
      </w:r>
    </w:p>
    <w:p w14:paraId="7ABDD722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29" w:name="_Toc375"/>
      <w:r>
        <w:rPr>
          <w:rFonts w:ascii="Arial" w:hAnsi="Arial"/>
          <w:sz w:val="24"/>
        </w:rPr>
        <w:t>表6-1 主要问题表</w:t>
      </w:r>
      <w:bookmarkEnd w:id="29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592"/>
        <w:gridCol w:w="1871"/>
        <w:gridCol w:w="1162"/>
      </w:tblGrid>
      <w:tr w14:paraId="09EDC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1CE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序号</w:t>
            </w:r>
          </w:p>
        </w:tc>
        <w:tc>
          <w:tcPr>
            <w:tcW w:w="459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876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问题描述</w:t>
            </w:r>
          </w:p>
        </w:tc>
        <w:tc>
          <w:tcPr>
            <w:tcW w:w="187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D24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所属环节</w:t>
            </w:r>
          </w:p>
        </w:tc>
        <w:tc>
          <w:tcPr>
            <w:tcW w:w="116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FA0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问题等级</w:t>
            </w:r>
          </w:p>
        </w:tc>
      </w:tr>
      <w:tr w14:paraId="3C98F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E11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</w:t>
            </w:r>
          </w:p>
        </w:tc>
        <w:tc>
          <w:tcPr>
            <w:tcW w:w="4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056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数据库恢复时，备份数据恢复时间较长，影响服务启动速度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FB6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数据库故障处置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ADB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中</w:t>
            </w:r>
          </w:p>
        </w:tc>
      </w:tr>
      <w:tr w14:paraId="59BD6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032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</w:t>
            </w:r>
          </w:p>
        </w:tc>
        <w:tc>
          <w:tcPr>
            <w:tcW w:w="4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0A5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中间件配置恢复操作文档不够详细，恢复过程中需查阅多处文档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E8C8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中间件故障处置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225B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低</w:t>
            </w:r>
          </w:p>
        </w:tc>
      </w:tr>
      <w:tr w14:paraId="775A5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253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3</w:t>
            </w:r>
          </w:p>
        </w:tc>
        <w:tc>
          <w:tcPr>
            <w:tcW w:w="4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65EF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备用服务器切换后，系统性能略低于主服务器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6005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服务器故障处置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2F4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低</w:t>
            </w:r>
          </w:p>
        </w:tc>
      </w:tr>
      <w:tr w14:paraId="2D02C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E4B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4</w:t>
            </w:r>
          </w:p>
        </w:tc>
        <w:tc>
          <w:tcPr>
            <w:tcW w:w="459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CA1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数据库备份介质调用流程耗时较长，影响故障恢复速度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1E1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备份介质管理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24C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中</w:t>
            </w:r>
          </w:p>
        </w:tc>
      </w:tr>
    </w:tbl>
    <w:p w14:paraId="5F2E714E">
      <w:pPr>
        <w:pStyle w:val="34"/>
        <w:keepNext w:val="0"/>
        <w:keepLines w:val="0"/>
        <w:pageBreakBefore w:val="0"/>
        <w:widowControl w:val="0"/>
        <w:numPr>
          <w:ilvl w:val="1"/>
          <w:numId w:val="0"/>
        </w:numPr>
        <w:wordWrap/>
        <w:overflowPunct/>
        <w:topLinePunct w:val="0"/>
        <w:bidi w:val="0"/>
      </w:pPr>
      <w:bookmarkStart w:id="30" w:name="_Toc22567"/>
      <w:r>
        <w:t>6.2 改进措施</w:t>
      </w:r>
      <w:bookmarkEnd w:id="30"/>
    </w:p>
    <w:p w14:paraId="13BDAD6F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针对上述问题制定改进措施并明确责任人与完成时限，改进措施落实情况如表6-2所示。</w:t>
      </w:r>
    </w:p>
    <w:p w14:paraId="6EB3249B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31" w:name="_Toc1853"/>
      <w:r>
        <w:rPr>
          <w:rFonts w:ascii="Arial" w:hAnsi="Arial"/>
          <w:sz w:val="24"/>
        </w:rPr>
        <w:t>表6-2 改进措施表</w:t>
      </w:r>
      <w:bookmarkEnd w:id="31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814"/>
        <w:gridCol w:w="3203"/>
        <w:gridCol w:w="1247"/>
        <w:gridCol w:w="1417"/>
      </w:tblGrid>
      <w:tr w14:paraId="6815C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51B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序号</w:t>
            </w:r>
          </w:p>
        </w:tc>
        <w:tc>
          <w:tcPr>
            <w:tcW w:w="181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63D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问题</w:t>
            </w:r>
          </w:p>
        </w:tc>
        <w:tc>
          <w:tcPr>
            <w:tcW w:w="3203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71C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改进措施</w:t>
            </w:r>
          </w:p>
        </w:tc>
        <w:tc>
          <w:tcPr>
            <w:tcW w:w="12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68A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责任人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E9E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完成时间</w:t>
            </w:r>
          </w:p>
        </w:tc>
      </w:tr>
      <w:tr w14:paraId="22F5C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EF7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972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数据库恢复时间长</w:t>
            </w:r>
          </w:p>
        </w:tc>
        <w:tc>
          <w:tcPr>
            <w:tcW w:w="3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9FF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优化数据库备份恢复流程，缩短恢复时间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96A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软件负责人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63C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2026年7月</w:t>
            </w:r>
          </w:p>
        </w:tc>
      </w:tr>
      <w:tr w14:paraId="057E7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13B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173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中间件恢复文档不详细</w:t>
            </w:r>
          </w:p>
        </w:tc>
        <w:tc>
          <w:tcPr>
            <w:tcW w:w="3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5548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优化中间件配置恢复操作文档，增加详细步骤截图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421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软件负责人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3D8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2026年7月</w:t>
            </w:r>
          </w:p>
        </w:tc>
      </w:tr>
      <w:tr w14:paraId="6B3C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FD3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DD7E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备用服务器性能偏低</w:t>
            </w:r>
          </w:p>
        </w:tc>
        <w:tc>
          <w:tcPr>
            <w:tcW w:w="3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D09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优化备用服务器配置，提升切换后性能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637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硬件负责人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40F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2026年8月</w:t>
            </w:r>
          </w:p>
        </w:tc>
      </w:tr>
      <w:tr w14:paraId="73117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E3C8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4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3E86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备份介质调用流程慢</w:t>
            </w:r>
          </w:p>
        </w:tc>
        <w:tc>
          <w:tcPr>
            <w:tcW w:w="320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83CB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优化备份介质调用流程，增加常用介质预授权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3AC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后勤保障组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B98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2026年7月</w:t>
            </w:r>
          </w:p>
        </w:tc>
      </w:tr>
    </w:tbl>
    <w:p w14:paraId="7F484FD7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32" w:name="_Toc30334"/>
      <w:r>
        <w:t>7 应急预案修订情况</w:t>
      </w:r>
      <w:bookmarkEnd w:id="32"/>
    </w:p>
    <w:p w14:paraId="142BE11F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根据演练发现的问题，公司组织对相关应急预案进行修订，主要修订内容如表7-1所示；修订后的应急预案经运维部经理审核、副总经理批准后发布执行，并同步更新项目现场处置方案。</w:t>
      </w:r>
    </w:p>
    <w:p w14:paraId="72681908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/>
        <w:jc w:val="center"/>
      </w:pPr>
      <w:bookmarkStart w:id="33" w:name="_Toc6092"/>
      <w:r>
        <w:rPr>
          <w:rFonts w:ascii="Arial" w:hAnsi="Arial"/>
          <w:sz w:val="24"/>
        </w:rPr>
        <w:t>表7-1 应急预案修订内容表</w:t>
      </w:r>
      <w:bookmarkEnd w:id="33"/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18"/>
        <w:gridCol w:w="4507"/>
      </w:tblGrid>
      <w:tr w14:paraId="365EF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3F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序号</w:t>
            </w:r>
          </w:p>
        </w:tc>
        <w:tc>
          <w:tcPr>
            <w:tcW w:w="311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5A9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修订内容</w:t>
            </w:r>
          </w:p>
        </w:tc>
        <w:tc>
          <w:tcPr>
            <w:tcW w:w="450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D8F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b/>
                <w:sz w:val="22"/>
              </w:rPr>
              <w:t>说明</w:t>
            </w:r>
          </w:p>
        </w:tc>
      </w:tr>
      <w:tr w14:paraId="4BB0C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014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6D3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数据库故障应急处置流程</w:t>
            </w:r>
          </w:p>
        </w:tc>
        <w:tc>
          <w:tcPr>
            <w:tcW w:w="4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876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增加备用服务器配置一致性检查步骤</w:t>
            </w:r>
          </w:p>
        </w:tc>
      </w:tr>
      <w:tr w14:paraId="15F70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12C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C42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中间件故障处置操作指南</w:t>
            </w:r>
          </w:p>
        </w:tc>
        <w:tc>
          <w:tcPr>
            <w:tcW w:w="4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6CB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细化恢复操作步骤，增加截图说明</w:t>
            </w:r>
          </w:p>
        </w:tc>
      </w:tr>
      <w:tr w14:paraId="24924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C55D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3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963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服务器故障应急预案</w:t>
            </w:r>
          </w:p>
        </w:tc>
        <w:tc>
          <w:tcPr>
            <w:tcW w:w="4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85C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增加备用线路性能优化建议</w:t>
            </w:r>
          </w:p>
        </w:tc>
      </w:tr>
      <w:tr w14:paraId="03F5F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B42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4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2D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  <w:jc w:val="center"/>
            </w:pPr>
            <w:r>
              <w:rPr>
                <w:rFonts w:eastAsia="等线"/>
                <w:sz w:val="22"/>
              </w:rPr>
              <w:t>备份介质管理流程</w:t>
            </w:r>
          </w:p>
        </w:tc>
        <w:tc>
          <w:tcPr>
            <w:tcW w:w="450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142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after="80" w:line="288" w:lineRule="auto"/>
            </w:pPr>
            <w:r>
              <w:rPr>
                <w:rFonts w:eastAsia="等线"/>
                <w:sz w:val="22"/>
              </w:rPr>
              <w:t>优化紧急备份介质调用审批流程</w:t>
            </w:r>
          </w:p>
        </w:tc>
      </w:tr>
    </w:tbl>
    <w:p w14:paraId="0D6588A6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34" w:name="_Toc4336"/>
      <w:r>
        <w:t>8 下阶段工作计划</w:t>
      </w:r>
      <w:bookmarkEnd w:id="34"/>
    </w:p>
    <w:p w14:paraId="0B3801D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结合本报告期应急管理工作开展情况，公司下阶段重点推进以下工作：</w:t>
      </w:r>
    </w:p>
    <w:p w14:paraId="7EABCED9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（1）跟踪落实应急改进措施，按期完成各项整改任务并验证效果，形成闭环管理；</w:t>
      </w:r>
    </w:p>
    <w:p w14:paraId="202B660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（2）持续优化监控预警体系，降低无效告警，提升告警精准度；</w:t>
      </w:r>
    </w:p>
    <w:p w14:paraId="3BF6C715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（3）组织公司级综合应急演练，并覆盖数据泄露、机房断电等补充场景，提升跨项目协同处置能力；</w:t>
      </w:r>
    </w:p>
    <w:p w14:paraId="0540399D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（4）加强应急物资管理，定期检查备用设备与备份介质有效性；</w:t>
      </w:r>
    </w:p>
    <w:p w14:paraId="0BEEEC5E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（5）结合大OA项目中间件版本升级评估，同步完善应急预案与操作文档。</w:t>
      </w:r>
    </w:p>
    <w:p w14:paraId="67EE8BB1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</w:pPr>
      <w:bookmarkStart w:id="35" w:name="_Toc615"/>
      <w:r>
        <w:t>9 总结</w:t>
      </w:r>
      <w:bookmarkEnd w:id="35"/>
    </w:p>
    <w:p w14:paraId="4571F252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2026年上半年，公司应急管理体系运行良好：应急组织健全、职责明确，制度与预案体系覆盖主要风险场景且可操作性强；大OA项目年度应急演练按计划顺利完成，四个场景全部在RTO目标时间内恢复，整体评价优秀；报告期内公司各项目未发生重大应急事件，应急事件均及时响应处置，未对客户业务造成影响；应急队伍、物资、监控预警等保障能力持续强化。</w:t>
      </w:r>
    </w:p>
    <w:p w14:paraId="3F6A18A5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t>下阶段，公司将继续落实改进措施，完善应急预案体系，提升应急响应与协同处置能力，确保各项目服务可用性和连续性满足SLA要求，为客户提供稳定可靠的运维服务。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CD"/>
    <w:rsid w:val="000B3FCD"/>
    <w:rsid w:val="003B708E"/>
    <w:rsid w:val="0051094B"/>
    <w:rsid w:val="00597A9F"/>
    <w:rsid w:val="00B701B7"/>
    <w:rsid w:val="02C10DFF"/>
    <w:rsid w:val="07180FEB"/>
    <w:rsid w:val="0B0C160D"/>
    <w:rsid w:val="11000BEA"/>
    <w:rsid w:val="224E7975"/>
    <w:rsid w:val="28C91330"/>
    <w:rsid w:val="31BB139D"/>
    <w:rsid w:val="38671BA4"/>
    <w:rsid w:val="3D83574E"/>
    <w:rsid w:val="473A07C7"/>
    <w:rsid w:val="4B3F57DE"/>
    <w:rsid w:val="5C456945"/>
    <w:rsid w:val="62404C02"/>
    <w:rsid w:val="71FD3900"/>
    <w:rsid w:val="77D772CE"/>
    <w:rsid w:val="7859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39"/>
    <w:pPr>
      <w:spacing w:after="40" w:line="240" w:lineRule="auto"/>
    </w:pPr>
    <w:rPr>
      <w:rFonts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18">
    <w:name w:val="toc 2"/>
    <w:basedOn w:val="1"/>
    <w:next w:val="1"/>
    <w:qFormat/>
    <w:uiPriority w:val="39"/>
    <w:pPr>
      <w:spacing w:after="40" w:line="240" w:lineRule="auto"/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Hyperlink"/>
    <w:basedOn w:val="2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27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/>
      <w:b/>
      <w:bCs/>
      <w:sz w:val="24"/>
      <w:lang w:eastAsia="zh-CN"/>
    </w:rPr>
  </w:style>
  <w:style w:type="paragraph" w:customStyle="1" w:styleId="28">
    <w:name w:val="柴_公司名"/>
    <w:basedOn w:val="21"/>
    <w:qFormat/>
    <w:uiPriority w:val="0"/>
    <w:pPr>
      <w:spacing w:after="600" w:afterLines="600"/>
      <w:outlineLvl w:val="9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9">
    <w:name w:val="柴_文档名"/>
    <w:basedOn w:val="21"/>
    <w:qFormat/>
    <w:uiPriority w:val="0"/>
    <w:pPr>
      <w:spacing w:after="900" w:afterLines="900"/>
      <w:outlineLvl w:val="9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0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32">
    <w:name w:val="柴_标题1"/>
    <w:basedOn w:val="2"/>
    <w:next w:val="33"/>
    <w:link w:val="42"/>
    <w:qFormat/>
    <w:uiPriority w:val="0"/>
    <w:pPr>
      <w:spacing w:before="100" w:after="90" w:line="360" w:lineRule="auto"/>
    </w:pPr>
    <w:rPr>
      <w:sz w:val="32"/>
    </w:rPr>
  </w:style>
  <w:style w:type="paragraph" w:customStyle="1" w:styleId="33">
    <w:name w:val="柴_正文"/>
    <w:basedOn w:val="12"/>
    <w:link w:val="45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4">
    <w:name w:val="柴_标题2"/>
    <w:basedOn w:val="3"/>
    <w:next w:val="33"/>
    <w:link w:val="4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5">
    <w:name w:val="柴_标题3"/>
    <w:basedOn w:val="4"/>
    <w:next w:val="33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6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">
    <w:name w:val="Compact"/>
    <w:basedOn w:val="12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2">
    <w:name w:val="柴_标题1 Char"/>
    <w:link w:val="32"/>
    <w:qFormat/>
    <w:uiPriority w:val="0"/>
    <w:rPr>
      <w:rFonts w:ascii="Arial" w:hAnsi="Arial" w:eastAsia="宋体"/>
      <w:sz w:val="32"/>
    </w:rPr>
  </w:style>
  <w:style w:type="paragraph" w:customStyle="1" w:styleId="43">
    <w:name w:val="柴_正文_无缩进"/>
    <w:basedOn w:val="1"/>
    <w:link w:val="47"/>
    <w:qFormat/>
    <w:uiPriority w:val="0"/>
    <w:rPr>
      <w:sz w:val="24"/>
      <w:lang w:eastAsia="zh-CN"/>
    </w:rPr>
  </w:style>
  <w:style w:type="paragraph" w:customStyle="1" w:styleId="4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5">
    <w:name w:val="柴_正文 Char"/>
    <w:link w:val="33"/>
    <w:qFormat/>
    <w:uiPriority w:val="0"/>
    <w:rPr>
      <w:rFonts w:ascii="Arial" w:hAnsi="Arial" w:eastAsia="宋体"/>
      <w:sz w:val="24"/>
      <w:lang w:eastAsia="zh-CN"/>
    </w:rPr>
  </w:style>
  <w:style w:type="table" w:customStyle="1" w:styleId="46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7">
    <w:name w:val="柴_正文_无缩进 Char"/>
    <w:link w:val="43"/>
    <w:qFormat/>
    <w:uiPriority w:val="0"/>
    <w:rPr>
      <w:rFonts w:ascii="Arial" w:hAnsi="Arial"/>
      <w:sz w:val="24"/>
      <w:lang w:eastAsia="zh-CN"/>
    </w:rPr>
  </w:style>
  <w:style w:type="character" w:customStyle="1" w:styleId="48">
    <w:name w:val="柴_标题2 Char"/>
    <w:link w:val="34"/>
    <w:qFormat/>
    <w:uiPriority w:val="0"/>
    <w:rPr>
      <w:rFonts w:ascii="Arial" w:hAnsi="Arial" w:eastAsia="宋体"/>
      <w:sz w:val="28"/>
    </w:rPr>
  </w:style>
  <w:style w:type="character" w:customStyle="1" w:styleId="49">
    <w:name w:val="柴_题注 Char"/>
    <w:link w:val="50"/>
    <w:qFormat/>
    <w:uiPriority w:val="0"/>
  </w:style>
  <w:style w:type="paragraph" w:customStyle="1" w:styleId="50">
    <w:name w:val="柴_题注"/>
    <w:basedOn w:val="19"/>
    <w:link w:val="49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paragraph" w:customStyle="1" w:styleId="51">
    <w:name w:val="ReportTableCaption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116</Words>
  <Characters>172</Characters>
  <Lines>460</Lines>
  <Paragraphs>611</Paragraphs>
  <TotalTime>0</TotalTime>
  <ScaleCrop>false</ScaleCrop>
  <LinksUpToDate>false</LinksUpToDate>
  <CharactersWithSpaces>174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2026-09-09T15:33:42Z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