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2026年度运维服务能力指标完成情况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（截止2026年7月）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SFKJ-ITSS-0304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w:type="default" r:id="rId4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TableNormal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294"/>
        <w:gridCol w:w="1554"/>
        <w:gridCol w:w="774"/>
        <w:gridCol w:w="774"/>
        <w:gridCol w:w="103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blPrEx>
          <w:tblW w:w="0" w:type="auto"/>
          <w:tblInd w:w="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77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103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0" w:type="auto"/>
            <w:gridSpan w:val="12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2026年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77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03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6月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bookmarkStart w:id="1" w:name="_GoBack"/>
            <w:bookmarkEnd w:id="1"/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6条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color w:val="FF0000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color w:val="auto"/>
                <w:sz w:val="13"/>
                <w:szCs w:val="13"/>
                <w:shd w:val="clear" w:color="auto" w:fill="auto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96.2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55" w:type="dxa"/>
            <w:gridSpan w:val="18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针对服务数据考核指标不满足的情况（2026年第二季度数据完整性为95%，未达标），人力部积极组织人员进行培训，由运维部经理宣贯《服务数据管理制度》，由质量部进行跟踪。经分析，原因为部分历史数据存在字段缺失，运维部已组织数据清洗，完善数据录入规范。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1490</Words>
  <Characters>1880</Characters>
  <Application>Microsoft Office Word</Application>
  <DocSecurity>0</DocSecurity>
  <Lines>0</Lines>
  <Paragraphs>0</Paragraphs>
  <ScaleCrop>false</ScaleCrop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2026-09-04T17:01:41Z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eyJoZGlkIjoiYjk5ODM0YmMxOWJiYWQyNDU4MGIzYWRmYTA0ZmI5NDciLCJ1c2VySWQiOiIxMDc1MzgyOSJ9</vt:lpwstr>
  </property>
</Properties>
</file>