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5361FF">
      <w:pPr>
        <w:pStyle w:val="27"/>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eastAsia"/>
          <w:lang w:val="en-US" w:eastAsia="zh-CN"/>
        </w:rPr>
      </w:pPr>
      <w:bookmarkStart w:id="0" w:name="_Toc3156"/>
      <w:r>
        <w:rPr>
          <w:rFonts w:hint="eastAsia"/>
          <w:lang w:val="en-US" w:eastAsia="zh-CN"/>
        </w:rPr>
        <w:t>‌数飞科技(宁波)有限公司</w:t>
      </w:r>
      <w:bookmarkEnd w:id="0"/>
    </w:p>
    <w:p w14:paraId="05C62CA3">
      <w:pPr>
        <w:pStyle w:val="28"/>
        <w:keepNext w:val="0"/>
        <w:keepLines w:val="0"/>
        <w:pageBreakBefore w:val="0"/>
        <w:widowControl w:val="0"/>
        <w:kinsoku w:val="0"/>
        <w:wordWrap/>
        <w:overflowPunct/>
        <w:topLinePunct w:val="0"/>
        <w:autoSpaceDE w:val="0"/>
        <w:autoSpaceDN w:val="0"/>
        <w:bidi w:val="0"/>
        <w:adjustRightInd w:val="0"/>
        <w:snapToGrid w:val="0"/>
        <w:textAlignment w:val="baseline"/>
        <w:outlineLvl w:val="9"/>
        <w:rPr>
          <w:rFonts w:hint="default"/>
          <w:lang w:val="en-US" w:eastAsia="zh-CN"/>
        </w:rPr>
      </w:pPr>
      <w:r>
        <w:rPr>
          <w:rFonts w:hint="eastAsia"/>
          <w:lang w:val="en-US" w:eastAsia="zh-CN"/>
        </w:rPr>
        <w:t>2026年度运维服务能力管理计划</w:t>
      </w:r>
    </w:p>
    <w:tbl>
      <w:tblPr>
        <w:tblStyle w:val="24"/>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24"/>
        <w:gridCol w:w="3090"/>
        <w:gridCol w:w="1824"/>
        <w:gridCol w:w="1784"/>
      </w:tblGrid>
      <w:tr w14:paraId="2F1F80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4319C6E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文档编号</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34B12728">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SFKJ-ITSS-0305</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E978AC2">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版本</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vAlign w:val="top"/>
          </w:tcPr>
          <w:p w14:paraId="7AB101C3">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V1.1</w:t>
            </w:r>
          </w:p>
        </w:tc>
      </w:tr>
      <w:tr w14:paraId="43F0D6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321ED46A">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作者</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6E22548A">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汪锦坤</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584352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编辑日期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vAlign w:val="top"/>
          </w:tcPr>
          <w:p w14:paraId="79AFF762">
            <w:pPr>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2026.9.7</w:t>
            </w:r>
          </w:p>
        </w:tc>
      </w:tr>
      <w:tr w14:paraId="3279D8D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1F54F250">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7D46A8F2">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马盛艳</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250BD3AB">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审核日期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vAlign w:val="top"/>
          </w:tcPr>
          <w:p w14:paraId="06FF6DD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2026.9.7</w:t>
            </w:r>
          </w:p>
        </w:tc>
      </w:tr>
      <w:tr w14:paraId="5A8425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1AA6251">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w:t>
            </w:r>
          </w:p>
        </w:tc>
        <w:tc>
          <w:tcPr>
            <w:tcW w:w="3090" w:type="dxa"/>
            <w:tcBorders>
              <w:top w:val="single" w:color="auto" w:sz="4" w:space="0"/>
              <w:left w:val="single" w:color="auto" w:sz="4" w:space="0"/>
              <w:bottom w:val="nil"/>
              <w:right w:val="nil"/>
            </w:tcBorders>
            <w:tcMar>
              <w:top w:w="-1" w:type="dxa"/>
              <w:left w:w="-1" w:type="dxa"/>
              <w:bottom w:w="-1" w:type="dxa"/>
              <w:right w:w="-1" w:type="dxa"/>
            </w:tcMar>
          </w:tcPr>
          <w:p w14:paraId="69378F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陶飞</w:t>
            </w:r>
          </w:p>
        </w:tc>
        <w:tc>
          <w:tcPr>
            <w:tcW w:w="1824" w:type="dxa"/>
            <w:tcBorders>
              <w:top w:val="single" w:color="auto" w:sz="4" w:space="0"/>
              <w:left w:val="single" w:color="auto" w:sz="4" w:space="0"/>
              <w:bottom w:val="nil"/>
              <w:right w:val="nil"/>
            </w:tcBorders>
            <w:shd w:val="clear" w:color="auto" w:fill="AEAAAA" w:themeFill="background2" w:themeFillShade="BF"/>
            <w:tcMar>
              <w:top w:w="-1" w:type="dxa"/>
              <w:left w:w="-1" w:type="dxa"/>
              <w:bottom w:w="-1" w:type="dxa"/>
              <w:right w:w="-1" w:type="dxa"/>
            </w:tcMar>
          </w:tcPr>
          <w:p w14:paraId="659193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批准日期</w:t>
            </w:r>
          </w:p>
        </w:tc>
        <w:tc>
          <w:tcPr>
            <w:tcW w:w="1784" w:type="dxa"/>
            <w:tcBorders>
              <w:top w:val="single" w:color="auto" w:sz="4" w:space="0"/>
              <w:left w:val="single" w:color="auto" w:sz="4" w:space="0"/>
              <w:bottom w:val="nil"/>
              <w:right w:val="single" w:color="auto" w:sz="4" w:space="0"/>
            </w:tcBorders>
            <w:tcMar>
              <w:top w:w="-1" w:type="dxa"/>
              <w:left w:w="-1" w:type="dxa"/>
              <w:bottom w:w="-1" w:type="dxa"/>
              <w:right w:w="-1" w:type="dxa"/>
            </w:tcMar>
            <w:vAlign w:val="top"/>
          </w:tcPr>
          <w:p w14:paraId="367AB63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2026.9.7</w:t>
            </w:r>
          </w:p>
        </w:tc>
      </w:tr>
      <w:tr w14:paraId="2CF26A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7DA839E3">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发布范围</w:t>
            </w:r>
          </w:p>
        </w:tc>
        <w:tc>
          <w:tcPr>
            <w:tcW w:w="3090" w:type="dxa"/>
            <w:tcBorders>
              <w:top w:val="single" w:color="auto" w:sz="4" w:space="0"/>
              <w:left w:val="single" w:color="auto" w:sz="4" w:space="0"/>
              <w:bottom w:val="single" w:color="auto" w:sz="4" w:space="0"/>
              <w:right w:val="nil"/>
            </w:tcBorders>
            <w:tcMar>
              <w:top w:w="-1" w:type="dxa"/>
              <w:left w:w="-1" w:type="dxa"/>
              <w:bottom w:w="-1" w:type="dxa"/>
              <w:right w:w="-1" w:type="dxa"/>
            </w:tcMar>
          </w:tcPr>
          <w:p w14:paraId="234B283C">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内部</w:t>
            </w:r>
          </w:p>
        </w:tc>
        <w:tc>
          <w:tcPr>
            <w:tcW w:w="1824" w:type="dxa"/>
            <w:tcBorders>
              <w:top w:val="single" w:color="auto" w:sz="4" w:space="0"/>
              <w:left w:val="single" w:color="auto" w:sz="4" w:space="0"/>
              <w:bottom w:val="single" w:color="auto" w:sz="4" w:space="0"/>
              <w:right w:val="nil"/>
            </w:tcBorders>
            <w:shd w:val="clear" w:color="auto" w:fill="AEAAAA" w:themeFill="background2" w:themeFillShade="BF"/>
            <w:tcMar>
              <w:top w:w="-1" w:type="dxa"/>
              <w:left w:w="-1" w:type="dxa"/>
              <w:bottom w:w="-1" w:type="dxa"/>
              <w:right w:w="-1" w:type="dxa"/>
            </w:tcMar>
          </w:tcPr>
          <w:p w14:paraId="2346697F">
            <w:pPr>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发布日期</w:t>
            </w:r>
          </w:p>
        </w:tc>
        <w:tc>
          <w:tcPr>
            <w:tcW w:w="1784" w:type="dxa"/>
            <w:tcBorders>
              <w:top w:val="single" w:color="auto" w:sz="4" w:space="0"/>
              <w:left w:val="single" w:color="auto" w:sz="4" w:space="0"/>
              <w:bottom w:val="single" w:color="auto" w:sz="4" w:space="0"/>
              <w:right w:val="single" w:color="auto" w:sz="4" w:space="0"/>
            </w:tcBorders>
            <w:tcMar>
              <w:top w:w="-1" w:type="dxa"/>
              <w:left w:w="-1" w:type="dxa"/>
              <w:bottom w:w="-1" w:type="dxa"/>
              <w:right w:w="-1" w:type="dxa"/>
            </w:tcMar>
            <w:vAlign w:val="top"/>
          </w:tcPr>
          <w:p w14:paraId="112E18D3">
            <w:pPr>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2026.9.7</w:t>
            </w:r>
          </w:p>
        </w:tc>
      </w:tr>
    </w:tbl>
    <w:p w14:paraId="4CA477F1">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br w:type="page"/>
      </w:r>
    </w:p>
    <w:p w14:paraId="5688C70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default"/>
          <w:b/>
          <w:bCs/>
          <w:lang w:val="en-US" w:eastAsia="zh-CN"/>
        </w:rPr>
      </w:pPr>
      <w:r>
        <w:rPr>
          <w:rFonts w:hint="eastAsia"/>
          <w:b/>
          <w:bCs/>
          <w:lang w:val="en-US" w:eastAsia="zh-CN"/>
        </w:rPr>
        <w:t>文档修订信息</w:t>
      </w:r>
    </w:p>
    <w:tbl>
      <w:tblPr>
        <w:tblStyle w:val="24"/>
        <w:tblW w:w="85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21"/>
        <w:gridCol w:w="1710"/>
        <w:gridCol w:w="1384"/>
        <w:gridCol w:w="2599"/>
        <w:gridCol w:w="1205"/>
      </w:tblGrid>
      <w:tr w14:paraId="589C9F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tblHeader/>
          <w:jc w:val="center"/>
        </w:trPr>
        <w:tc>
          <w:tcPr>
            <w:tcW w:w="0" w:type="auto"/>
            <w:tcBorders>
              <w:top w:val="single" w:color="auto" w:sz="12" w:space="0"/>
              <w:left w:val="single" w:color="auto" w:sz="12" w:space="0"/>
              <w:bottom w:val="nil"/>
              <w:right w:val="nil"/>
            </w:tcBorders>
            <w:tcMar>
              <w:top w:w="-1" w:type="dxa"/>
              <w:left w:w="-1" w:type="dxa"/>
              <w:bottom w:w="-1" w:type="dxa"/>
              <w:right w:w="-1" w:type="dxa"/>
            </w:tcMar>
            <w:vAlign w:val="center"/>
          </w:tcPr>
          <w:p w14:paraId="2C1666D2">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版本号</w:t>
            </w:r>
          </w:p>
        </w:tc>
        <w:tc>
          <w:tcPr>
            <w:tcW w:w="1710" w:type="dxa"/>
            <w:tcBorders>
              <w:top w:val="single" w:color="auto" w:sz="12" w:space="0"/>
              <w:left w:val="single" w:color="auto" w:sz="4" w:space="0"/>
              <w:bottom w:val="nil"/>
              <w:right w:val="nil"/>
            </w:tcBorders>
            <w:tcMar>
              <w:top w:w="-1" w:type="dxa"/>
              <w:left w:w="-1" w:type="dxa"/>
              <w:bottom w:w="-1" w:type="dxa"/>
              <w:right w:w="-1" w:type="dxa"/>
            </w:tcMar>
            <w:vAlign w:val="center"/>
          </w:tcPr>
          <w:p w14:paraId="027AC3C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修订日期</w:t>
            </w:r>
          </w:p>
        </w:tc>
        <w:tc>
          <w:tcPr>
            <w:tcW w:w="1384" w:type="dxa"/>
            <w:tcBorders>
              <w:top w:val="single" w:color="auto" w:sz="12" w:space="0"/>
              <w:left w:val="single" w:color="auto" w:sz="4" w:space="0"/>
              <w:bottom w:val="nil"/>
              <w:right w:val="nil"/>
            </w:tcBorders>
            <w:tcMar>
              <w:top w:w="-1" w:type="dxa"/>
              <w:left w:w="-1" w:type="dxa"/>
              <w:bottom w:w="-1" w:type="dxa"/>
              <w:right w:w="-1" w:type="dxa"/>
            </w:tcMar>
            <w:vAlign w:val="center"/>
          </w:tcPr>
          <w:p w14:paraId="0B3A28C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修订人</w:t>
            </w:r>
          </w:p>
        </w:tc>
        <w:tc>
          <w:tcPr>
            <w:tcW w:w="2599" w:type="dxa"/>
            <w:tcBorders>
              <w:top w:val="single" w:color="auto" w:sz="12" w:space="0"/>
              <w:left w:val="single" w:color="auto" w:sz="4" w:space="0"/>
              <w:bottom w:val="nil"/>
              <w:right w:val="nil"/>
            </w:tcBorders>
            <w:tcMar>
              <w:top w:w="-1" w:type="dxa"/>
              <w:left w:w="-1" w:type="dxa"/>
              <w:bottom w:w="-1" w:type="dxa"/>
              <w:right w:w="-1" w:type="dxa"/>
            </w:tcMar>
            <w:vAlign w:val="center"/>
          </w:tcPr>
          <w:p w14:paraId="0B934F5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修订说明</w:t>
            </w:r>
          </w:p>
        </w:tc>
        <w:tc>
          <w:tcPr>
            <w:tcW w:w="1205" w:type="dxa"/>
            <w:tcBorders>
              <w:top w:val="single" w:color="auto" w:sz="12" w:space="0"/>
              <w:left w:val="single" w:color="auto" w:sz="4" w:space="0"/>
              <w:bottom w:val="nil"/>
              <w:right w:val="single" w:color="auto" w:sz="12" w:space="0"/>
            </w:tcBorders>
            <w:tcMar>
              <w:top w:w="-1" w:type="dxa"/>
              <w:left w:w="-1" w:type="dxa"/>
              <w:bottom w:w="-1" w:type="dxa"/>
              <w:right w:w="-1" w:type="dxa"/>
            </w:tcMar>
            <w:vAlign w:val="center"/>
          </w:tcPr>
          <w:p w14:paraId="5FD96ED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bCs/>
                <w:i w:val="0"/>
                <w:iCs w:val="0"/>
                <w:caps w:val="0"/>
                <w:color w:val="auto"/>
                <w:spacing w:val="0"/>
                <w:sz w:val="24"/>
                <w:szCs w:val="24"/>
                <w:u w:val="none"/>
                <w:shd w:val="clear" w:color="auto" w:fill="FFFFFF"/>
                <w:vertAlign w:val="baseline"/>
                <w:lang w:val="en-US" w:eastAsia="zh-CN"/>
              </w:rPr>
              <w:t>备注</w:t>
            </w:r>
          </w:p>
        </w:tc>
      </w:tr>
      <w:tr w14:paraId="1CAAB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7A893AE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1.0</w:t>
            </w:r>
          </w:p>
        </w:tc>
        <w:tc>
          <w:tcPr>
            <w:tcW w:w="1710" w:type="dxa"/>
            <w:tcBorders>
              <w:top w:val="single" w:color="auto" w:sz="4" w:space="0"/>
              <w:left w:val="single" w:color="auto" w:sz="4" w:space="0"/>
              <w:bottom w:val="nil"/>
              <w:right w:val="nil"/>
            </w:tcBorders>
            <w:tcMar>
              <w:top w:w="-1" w:type="dxa"/>
              <w:left w:w="-1" w:type="dxa"/>
              <w:bottom w:w="-1" w:type="dxa"/>
              <w:right w:w="-1" w:type="dxa"/>
            </w:tcMar>
            <w:vAlign w:val="center"/>
          </w:tcPr>
          <w:p w14:paraId="091768DB">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2026.1.3</w:t>
            </w:r>
          </w:p>
        </w:tc>
        <w:tc>
          <w:tcPr>
            <w:tcW w:w="1384" w:type="dxa"/>
            <w:tcBorders>
              <w:top w:val="single" w:color="auto" w:sz="4" w:space="0"/>
              <w:left w:val="single" w:color="auto" w:sz="4" w:space="0"/>
              <w:bottom w:val="nil"/>
              <w:right w:val="nil"/>
            </w:tcBorders>
            <w:tcMar>
              <w:top w:w="-1" w:type="dxa"/>
              <w:left w:w="-1" w:type="dxa"/>
              <w:bottom w:w="-1" w:type="dxa"/>
              <w:right w:w="-1" w:type="dxa"/>
            </w:tcMar>
            <w:vAlign w:val="center"/>
          </w:tcPr>
          <w:p w14:paraId="5889204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2599" w:type="dxa"/>
            <w:tcBorders>
              <w:top w:val="single" w:color="auto" w:sz="4" w:space="0"/>
              <w:left w:val="single" w:color="auto" w:sz="4" w:space="0"/>
              <w:bottom w:val="nil"/>
              <w:right w:val="nil"/>
            </w:tcBorders>
            <w:tcMar>
              <w:top w:w="-1" w:type="dxa"/>
              <w:left w:w="-1" w:type="dxa"/>
              <w:bottom w:w="-1" w:type="dxa"/>
              <w:right w:w="-1" w:type="dxa"/>
            </w:tcMar>
            <w:vAlign w:val="center"/>
          </w:tcPr>
          <w:p w14:paraId="32771FE1">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新增</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79251EB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p>
        </w:tc>
      </w:tr>
      <w:tr w14:paraId="77AD6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shd w:val="clear" w:color="auto" w:fill="auto"/>
            <w:tcMar>
              <w:top w:w="-1" w:type="dxa"/>
              <w:left w:w="-1" w:type="dxa"/>
              <w:bottom w:w="-1" w:type="dxa"/>
              <w:right w:w="-1" w:type="dxa"/>
            </w:tcMar>
            <w:vAlign w:val="center"/>
          </w:tcPr>
          <w:p w14:paraId="596D581A">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微软雅黑" w:hAnsi="微软雅黑" w:eastAsia="微软雅黑" w:cs="微软雅黑"/>
                <w:b w:val="0"/>
                <w:bCs/>
                <w:i w:val="0"/>
                <w:iCs w:val="0"/>
                <w:caps w:val="0"/>
                <w:snapToGrid w:val="0"/>
                <w:color w:val="auto"/>
                <w:spacing w:val="0"/>
                <w:kern w:val="0"/>
                <w:sz w:val="24"/>
                <w:szCs w:val="24"/>
                <w:u w:val="none"/>
                <w:shd w:val="clear" w:color="auto" w:fill="FFFFFF"/>
                <w:vertAlign w:val="baseline"/>
                <w:lang w:val="en-US" w:eastAsia="zh-CN" w:bidi="ar-SA"/>
              </w:rPr>
            </w:pPr>
            <w:r>
              <w:rPr>
                <w:rStyle w:val="26"/>
                <w:rFonts w:hint="eastAsia" w:ascii="微软雅黑" w:hAnsi="微软雅黑" w:eastAsia="微软雅黑" w:cs="微软雅黑"/>
                <w:b w:val="0"/>
                <w:bCs/>
                <w:i w:val="0"/>
                <w:iCs w:val="0"/>
                <w:color w:val="auto"/>
                <w:spacing w:val="0"/>
                <w:sz w:val="24"/>
                <w:szCs w:val="24"/>
                <w:u w:val="none"/>
                <w:shd w:val="clear" w:color="auto" w:fill="FFFFFF"/>
                <w:vertAlign w:val="baseline"/>
                <w:lang w:val="en-US" w:eastAsia="zh-CN"/>
              </w:rPr>
              <w:t>V</w:t>
            </w: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1.1</w:t>
            </w:r>
          </w:p>
        </w:tc>
        <w:tc>
          <w:tcPr>
            <w:tcW w:w="1710" w:type="dxa"/>
            <w:tcBorders>
              <w:top w:val="single" w:color="auto" w:sz="4" w:space="0"/>
              <w:left w:val="single" w:color="auto" w:sz="4" w:space="0"/>
              <w:bottom w:val="nil"/>
              <w:right w:val="nil"/>
            </w:tcBorders>
            <w:shd w:val="clear" w:color="auto" w:fill="auto"/>
            <w:tcMar>
              <w:top w:w="-1" w:type="dxa"/>
              <w:left w:w="-1" w:type="dxa"/>
              <w:bottom w:w="-1" w:type="dxa"/>
              <w:right w:w="-1" w:type="dxa"/>
            </w:tcMar>
            <w:vAlign w:val="center"/>
          </w:tcPr>
          <w:p w14:paraId="2A25A65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微软雅黑" w:hAnsi="微软雅黑" w:eastAsia="微软雅黑" w:cs="微软雅黑"/>
                <w:b w:val="0"/>
                <w:bCs/>
                <w:i w:val="0"/>
                <w:iCs w:val="0"/>
                <w:caps w:val="0"/>
                <w:snapToGrid w:val="0"/>
                <w:color w:val="auto"/>
                <w:spacing w:val="0"/>
                <w:kern w:val="0"/>
                <w:sz w:val="24"/>
                <w:szCs w:val="24"/>
                <w:u w:val="none"/>
                <w:shd w:val="clear" w:color="auto" w:fill="FFFFFF"/>
                <w:vertAlign w:val="baseline"/>
                <w:lang w:val="en-US" w:eastAsia="zh-CN" w:bidi="ar-SA"/>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2026.9.7</w:t>
            </w:r>
          </w:p>
        </w:tc>
        <w:tc>
          <w:tcPr>
            <w:tcW w:w="1384" w:type="dxa"/>
            <w:tcBorders>
              <w:top w:val="single" w:color="auto" w:sz="4" w:space="0"/>
              <w:left w:val="single" w:color="auto" w:sz="4" w:space="0"/>
              <w:bottom w:val="nil"/>
              <w:right w:val="nil"/>
            </w:tcBorders>
            <w:shd w:val="clear" w:color="auto" w:fill="auto"/>
            <w:tcMar>
              <w:top w:w="-1" w:type="dxa"/>
              <w:left w:w="-1" w:type="dxa"/>
              <w:bottom w:w="-1" w:type="dxa"/>
              <w:right w:w="-1" w:type="dxa"/>
            </w:tcMar>
            <w:vAlign w:val="center"/>
          </w:tcPr>
          <w:p w14:paraId="2C77EBE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汪锦坤</w:t>
            </w:r>
          </w:p>
        </w:tc>
        <w:tc>
          <w:tcPr>
            <w:tcW w:w="2599" w:type="dxa"/>
            <w:tcBorders>
              <w:top w:val="single" w:color="auto" w:sz="4" w:space="0"/>
              <w:left w:val="single" w:color="auto" w:sz="4" w:space="0"/>
              <w:bottom w:val="nil"/>
              <w:right w:val="nil"/>
            </w:tcBorders>
            <w:tcMar>
              <w:top w:w="-1" w:type="dxa"/>
              <w:left w:w="-1" w:type="dxa"/>
              <w:bottom w:w="-1" w:type="dxa"/>
              <w:right w:w="-1" w:type="dxa"/>
            </w:tcMar>
            <w:vAlign w:val="center"/>
          </w:tcPr>
          <w:p w14:paraId="430E194D">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pPr>
            <w:r>
              <w:rPr>
                <w:rStyle w:val="26"/>
                <w:rFonts w:hint="eastAsia" w:ascii="微软雅黑" w:hAnsi="微软雅黑" w:eastAsia="微软雅黑" w:cs="微软雅黑"/>
                <w:b w:val="0"/>
                <w:bCs/>
                <w:i w:val="0"/>
                <w:iCs w:val="0"/>
                <w:caps w:val="0"/>
                <w:color w:val="auto"/>
                <w:spacing w:val="0"/>
                <w:sz w:val="24"/>
                <w:szCs w:val="24"/>
                <w:u w:val="none"/>
                <w:shd w:val="clear" w:color="auto" w:fill="FFFFFF"/>
                <w:vertAlign w:val="baseline"/>
                <w:lang w:val="en-US" w:eastAsia="zh-CN"/>
              </w:rPr>
              <w:t>调整人员招聘目标值</w:t>
            </w: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6847D38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4AB683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0" w:type="auto"/>
            <w:tcBorders>
              <w:top w:val="single" w:color="auto" w:sz="4" w:space="0"/>
              <w:left w:val="single" w:color="auto" w:sz="12" w:space="0"/>
              <w:bottom w:val="nil"/>
              <w:right w:val="nil"/>
            </w:tcBorders>
            <w:tcMar>
              <w:top w:w="-1" w:type="dxa"/>
              <w:left w:w="-1" w:type="dxa"/>
              <w:bottom w:w="-1" w:type="dxa"/>
              <w:right w:w="-1" w:type="dxa"/>
            </w:tcMar>
            <w:vAlign w:val="center"/>
          </w:tcPr>
          <w:p w14:paraId="2F78E82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710" w:type="dxa"/>
            <w:tcBorders>
              <w:top w:val="single" w:color="auto" w:sz="4" w:space="0"/>
              <w:left w:val="single" w:color="auto" w:sz="4" w:space="0"/>
              <w:bottom w:val="nil"/>
              <w:right w:val="nil"/>
            </w:tcBorders>
            <w:tcMar>
              <w:top w:w="-1" w:type="dxa"/>
              <w:left w:w="-1" w:type="dxa"/>
              <w:bottom w:w="-1" w:type="dxa"/>
              <w:right w:w="-1" w:type="dxa"/>
            </w:tcMar>
            <w:vAlign w:val="center"/>
          </w:tcPr>
          <w:p w14:paraId="016864D9">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384" w:type="dxa"/>
            <w:tcBorders>
              <w:top w:val="single" w:color="auto" w:sz="4" w:space="0"/>
              <w:left w:val="single" w:color="auto" w:sz="4" w:space="0"/>
              <w:bottom w:val="nil"/>
              <w:right w:val="nil"/>
            </w:tcBorders>
            <w:tcMar>
              <w:top w:w="-1" w:type="dxa"/>
              <w:left w:w="-1" w:type="dxa"/>
              <w:bottom w:w="-1" w:type="dxa"/>
              <w:right w:w="-1" w:type="dxa"/>
            </w:tcMar>
            <w:vAlign w:val="center"/>
          </w:tcPr>
          <w:p w14:paraId="13612AC5">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599" w:type="dxa"/>
            <w:tcBorders>
              <w:top w:val="single" w:color="auto" w:sz="4" w:space="0"/>
              <w:left w:val="single" w:color="auto" w:sz="4" w:space="0"/>
              <w:bottom w:val="nil"/>
              <w:right w:val="nil"/>
            </w:tcBorders>
            <w:tcMar>
              <w:top w:w="-1" w:type="dxa"/>
              <w:left w:w="-1" w:type="dxa"/>
              <w:bottom w:w="-1" w:type="dxa"/>
              <w:right w:w="-1" w:type="dxa"/>
            </w:tcMar>
            <w:vAlign w:val="center"/>
          </w:tcPr>
          <w:p w14:paraId="5FF3D194">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nil"/>
              <w:right w:val="single" w:color="auto" w:sz="12" w:space="0"/>
            </w:tcBorders>
            <w:tcMar>
              <w:top w:w="-1" w:type="dxa"/>
              <w:left w:w="-1" w:type="dxa"/>
              <w:bottom w:w="-1" w:type="dxa"/>
              <w:right w:w="-1" w:type="dxa"/>
            </w:tcMar>
            <w:vAlign w:val="center"/>
          </w:tcPr>
          <w:p w14:paraId="3E584F08">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r w14:paraId="5F8FA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0" w:hRule="atLeast"/>
          <w:jc w:val="center"/>
        </w:trPr>
        <w:tc>
          <w:tcPr>
            <w:tcW w:w="1621" w:type="dxa"/>
            <w:tcBorders>
              <w:top w:val="single" w:color="auto" w:sz="4" w:space="0"/>
              <w:left w:val="single" w:color="auto" w:sz="12" w:space="0"/>
              <w:bottom w:val="single" w:color="auto" w:sz="12" w:space="0"/>
              <w:right w:val="nil"/>
            </w:tcBorders>
            <w:tcMar>
              <w:top w:w="-1" w:type="dxa"/>
              <w:left w:w="-1" w:type="dxa"/>
              <w:bottom w:w="-1" w:type="dxa"/>
              <w:right w:w="-1" w:type="dxa"/>
            </w:tcMar>
            <w:vAlign w:val="center"/>
          </w:tcPr>
          <w:p w14:paraId="2A0E514C">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710"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2705EAE6">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384"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3D829177">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2599" w:type="dxa"/>
            <w:tcBorders>
              <w:top w:val="single" w:color="auto" w:sz="4" w:space="0"/>
              <w:left w:val="single" w:color="auto" w:sz="4" w:space="0"/>
              <w:bottom w:val="single" w:color="auto" w:sz="12" w:space="0"/>
              <w:right w:val="nil"/>
            </w:tcBorders>
            <w:tcMar>
              <w:top w:w="-1" w:type="dxa"/>
              <w:left w:w="-1" w:type="dxa"/>
              <w:bottom w:w="-1" w:type="dxa"/>
              <w:right w:w="-1" w:type="dxa"/>
            </w:tcMar>
            <w:vAlign w:val="center"/>
          </w:tcPr>
          <w:p w14:paraId="617396C0">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c>
          <w:tcPr>
            <w:tcW w:w="1205" w:type="dxa"/>
            <w:tcBorders>
              <w:top w:val="single" w:color="auto" w:sz="4" w:space="0"/>
              <w:left w:val="single" w:color="auto" w:sz="4" w:space="0"/>
              <w:bottom w:val="single" w:color="auto" w:sz="12" w:space="0"/>
              <w:right w:val="single" w:color="auto" w:sz="12" w:space="0"/>
            </w:tcBorders>
            <w:tcMar>
              <w:top w:w="-1" w:type="dxa"/>
              <w:left w:w="-1" w:type="dxa"/>
              <w:bottom w:w="-1" w:type="dxa"/>
              <w:right w:w="-1" w:type="dxa"/>
            </w:tcMar>
            <w:vAlign w:val="center"/>
          </w:tcPr>
          <w:p w14:paraId="2DD43D4F">
            <w:pPr>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Style w:val="26"/>
                <w:rFonts w:hint="default" w:ascii="微软雅黑" w:hAnsi="微软雅黑" w:eastAsia="微软雅黑" w:cs="微软雅黑"/>
                <w:b w:val="0"/>
                <w:bCs/>
                <w:i w:val="0"/>
                <w:iCs w:val="0"/>
                <w:caps w:val="0"/>
                <w:color w:val="666666"/>
                <w:spacing w:val="0"/>
                <w:sz w:val="24"/>
                <w:szCs w:val="24"/>
                <w:u w:val="none"/>
                <w:shd w:val="clear" w:color="auto" w:fill="FFFFFF"/>
                <w:vertAlign w:val="baseline"/>
                <w:lang w:val="en-US" w:eastAsia="zh-CN"/>
              </w:rPr>
            </w:pPr>
          </w:p>
        </w:tc>
      </w:tr>
    </w:tbl>
    <w:p w14:paraId="74D64F87">
      <w:pPr>
        <w:keepNext w:val="0"/>
        <w:keepLines w:val="0"/>
        <w:pageBreakBefore w:val="0"/>
        <w:widowControl w:val="0"/>
        <w:kinsoku w:val="0"/>
        <w:wordWrap/>
        <w:overflowPunct/>
        <w:topLinePunct w:val="0"/>
        <w:autoSpaceDE w:val="0"/>
        <w:autoSpaceDN w:val="0"/>
        <w:bidi w:val="0"/>
        <w:adjustRightInd w:val="0"/>
        <w:snapToGrid w:val="0"/>
        <w:textAlignment w:val="baseline"/>
      </w:pPr>
      <w:bookmarkStart w:id="64" w:name="_GoBack"/>
      <w:bookmarkEnd w:id="64"/>
      <w:r>
        <w:rPr>
          <w:rStyle w:val="26"/>
          <w:rFonts w:hint="default" w:ascii="微软雅黑" w:hAnsi="微软雅黑" w:eastAsia="微软雅黑" w:cs="微软雅黑"/>
          <w:b w:val="0"/>
          <w:bCs/>
          <w:i w:val="0"/>
          <w:iCs w:val="0"/>
          <w:caps w:val="0"/>
          <w:color w:val="666666"/>
          <w:spacing w:val="0"/>
          <w:sz w:val="24"/>
          <w:szCs w:val="24"/>
          <w:u w:val="none"/>
          <w:shd w:val="clear" w:color="auto" w:fill="FFFFFF"/>
          <w:lang w:val="en-US" w:eastAsia="zh-CN"/>
        </w:rPr>
        <w:br w:type="page"/>
      </w:r>
    </w:p>
    <w:sdt>
      <w:sdtPr>
        <w:rPr>
          <w:rFonts w:ascii="宋体" w:hAnsi="宋体" w:eastAsia="宋体" w:cs="Arial"/>
          <w:snapToGrid w:val="0"/>
          <w:color w:val="000000"/>
          <w:kern w:val="0"/>
          <w:sz w:val="21"/>
          <w:szCs w:val="21"/>
          <w:lang w:val="en-US" w:eastAsia="en-US" w:bidi="ar-SA"/>
        </w:rPr>
        <w:id w:val="147475207"/>
        <w:docPartObj>
          <w:docPartGallery w:val="Table of Contents"/>
          <w:docPartUnique/>
        </w:docPartObj>
      </w:sdtPr>
      <w:sdtEndPr>
        <w:rPr>
          <w:rFonts w:ascii="宋体" w:hAnsi="宋体" w:eastAsia="宋体" w:cs="Arial"/>
          <w:snapToGrid w:val="0"/>
          <w:color w:val="000000"/>
          <w:kern w:val="0"/>
          <w:sz w:val="21"/>
          <w:szCs w:val="21"/>
          <w:lang w:val="en-US" w:eastAsia="en-US" w:bidi="ar-SA"/>
        </w:rPr>
      </w:sdtEndPr>
      <w:sdtContent>
        <w:p w14:paraId="7009EA74">
          <w:pPr>
            <w:keepNext w:val="0"/>
            <w:keepLines w:val="0"/>
            <w:pageBreakBefore w:val="0"/>
            <w:widowControl w:val="0"/>
            <w:kinsoku w:val="0"/>
            <w:wordWrap/>
            <w:overflowPunct/>
            <w:topLinePunct w:val="0"/>
            <w:autoSpaceDE w:val="0"/>
            <w:autoSpaceDN w:val="0"/>
            <w:bidi w:val="0"/>
            <w:adjustRightInd w:val="0"/>
            <w:snapToGrid w:val="0"/>
            <w:spacing w:before="0" w:beforeLines="0" w:after="0" w:afterLines="0" w:line="240" w:lineRule="auto"/>
            <w:ind w:left="0" w:leftChars="0" w:right="0" w:rightChars="0" w:firstLine="0" w:firstLineChars="0"/>
            <w:jc w:val="center"/>
            <w:textAlignment w:val="baseline"/>
          </w:pPr>
          <w:r>
            <w:rPr>
              <w:rFonts w:ascii="宋体" w:hAnsi="宋体" w:eastAsia="宋体"/>
              <w:sz w:val="21"/>
            </w:rPr>
            <w:t>目录</w:t>
          </w:r>
        </w:p>
        <w:p w14:paraId="0132FEDB">
          <w:pPr>
            <w:pStyle w:val="17"/>
            <w:tabs>
              <w:tab w:val="right" w:leader="dot" w:pos="8306"/>
            </w:tabs>
          </w:pPr>
          <w:r>
            <w:fldChar w:fldCharType="begin"/>
          </w:r>
          <w:r>
            <w:instrText xml:space="preserve">TOC \o "1-3" \h \u </w:instrText>
          </w:r>
          <w:r>
            <w:fldChar w:fldCharType="separate"/>
          </w:r>
          <w:r>
            <w:fldChar w:fldCharType="begin"/>
          </w:r>
          <w:r>
            <w:instrText xml:space="preserve"> HYPERLINK \l _Toc20422 </w:instrText>
          </w:r>
          <w:r>
            <w:fldChar w:fldCharType="separate"/>
          </w:r>
          <w:r>
            <w:rPr>
              <w:rFonts w:hint="default"/>
              <w:lang w:val="en-US" w:eastAsia="zh-CN"/>
            </w:rPr>
            <w:t>1. 公司现状分析</w:t>
          </w:r>
          <w:r>
            <w:tab/>
          </w:r>
          <w:r>
            <w:fldChar w:fldCharType="begin"/>
          </w:r>
          <w:r>
            <w:instrText xml:space="preserve"> PAGEREF _Toc20422 \h </w:instrText>
          </w:r>
          <w:r>
            <w:fldChar w:fldCharType="separate"/>
          </w:r>
          <w:r>
            <w:t>5</w:t>
          </w:r>
          <w:r>
            <w:fldChar w:fldCharType="end"/>
          </w:r>
          <w:r>
            <w:fldChar w:fldCharType="end"/>
          </w:r>
        </w:p>
        <w:p w14:paraId="5E214ED6">
          <w:pPr>
            <w:pStyle w:val="19"/>
            <w:tabs>
              <w:tab w:val="right" w:leader="dot" w:pos="8306"/>
            </w:tabs>
          </w:pPr>
          <w:r>
            <w:fldChar w:fldCharType="begin"/>
          </w:r>
          <w:r>
            <w:instrText xml:space="preserve"> HYPERLINK \l _Toc24691 </w:instrText>
          </w:r>
          <w:r>
            <w:fldChar w:fldCharType="separate"/>
          </w:r>
          <w:r>
            <w:rPr>
              <w:rFonts w:hint="default"/>
              <w:lang w:val="en-US" w:eastAsia="zh-CN"/>
            </w:rPr>
            <w:t>1.1. 优势分析</w:t>
          </w:r>
          <w:r>
            <w:tab/>
          </w:r>
          <w:r>
            <w:fldChar w:fldCharType="begin"/>
          </w:r>
          <w:r>
            <w:instrText xml:space="preserve"> PAGEREF _Toc24691 \h </w:instrText>
          </w:r>
          <w:r>
            <w:fldChar w:fldCharType="separate"/>
          </w:r>
          <w:r>
            <w:t>5</w:t>
          </w:r>
          <w:r>
            <w:fldChar w:fldCharType="end"/>
          </w:r>
          <w:r>
            <w:fldChar w:fldCharType="end"/>
          </w:r>
        </w:p>
        <w:p w14:paraId="6E0E3FFB">
          <w:pPr>
            <w:pStyle w:val="19"/>
            <w:tabs>
              <w:tab w:val="right" w:leader="dot" w:pos="8306"/>
            </w:tabs>
          </w:pPr>
          <w:r>
            <w:fldChar w:fldCharType="begin"/>
          </w:r>
          <w:r>
            <w:instrText xml:space="preserve"> HYPERLINK \l _Toc26417 </w:instrText>
          </w:r>
          <w:r>
            <w:fldChar w:fldCharType="separate"/>
          </w:r>
          <w:r>
            <w:rPr>
              <w:rFonts w:hint="default"/>
              <w:lang w:val="en-US" w:eastAsia="zh-CN"/>
            </w:rPr>
            <w:t>1.2. 待改进方面</w:t>
          </w:r>
          <w:r>
            <w:tab/>
          </w:r>
          <w:r>
            <w:fldChar w:fldCharType="begin"/>
          </w:r>
          <w:r>
            <w:instrText xml:space="preserve"> PAGEREF _Toc26417 \h </w:instrText>
          </w:r>
          <w:r>
            <w:fldChar w:fldCharType="separate"/>
          </w:r>
          <w:r>
            <w:t>5</w:t>
          </w:r>
          <w:r>
            <w:fldChar w:fldCharType="end"/>
          </w:r>
          <w:r>
            <w:fldChar w:fldCharType="end"/>
          </w:r>
        </w:p>
        <w:p w14:paraId="7F2E5E32">
          <w:pPr>
            <w:pStyle w:val="17"/>
            <w:tabs>
              <w:tab w:val="right" w:leader="dot" w:pos="8306"/>
            </w:tabs>
          </w:pPr>
          <w:r>
            <w:fldChar w:fldCharType="begin"/>
          </w:r>
          <w:r>
            <w:instrText xml:space="preserve"> HYPERLINK \l _Toc28569 </w:instrText>
          </w:r>
          <w:r>
            <w:fldChar w:fldCharType="separate"/>
          </w:r>
          <w:r>
            <w:rPr>
              <w:rFonts w:hint="default"/>
              <w:lang w:val="en-US" w:eastAsia="zh-CN"/>
            </w:rPr>
            <w:t>2. 运维业务分析</w:t>
          </w:r>
          <w:r>
            <w:tab/>
          </w:r>
          <w:r>
            <w:fldChar w:fldCharType="begin"/>
          </w:r>
          <w:r>
            <w:instrText xml:space="preserve"> PAGEREF _Toc28569 \h </w:instrText>
          </w:r>
          <w:r>
            <w:fldChar w:fldCharType="separate"/>
          </w:r>
          <w:r>
            <w:t>5</w:t>
          </w:r>
          <w:r>
            <w:fldChar w:fldCharType="end"/>
          </w:r>
          <w:r>
            <w:fldChar w:fldCharType="end"/>
          </w:r>
        </w:p>
        <w:p w14:paraId="7B35DC5C">
          <w:pPr>
            <w:pStyle w:val="19"/>
            <w:tabs>
              <w:tab w:val="right" w:leader="dot" w:pos="8306"/>
            </w:tabs>
          </w:pPr>
          <w:r>
            <w:fldChar w:fldCharType="begin"/>
          </w:r>
          <w:r>
            <w:instrText xml:space="preserve"> HYPERLINK \l _Toc27566 </w:instrText>
          </w:r>
          <w:r>
            <w:fldChar w:fldCharType="separate"/>
          </w:r>
          <w:r>
            <w:rPr>
              <w:rFonts w:hint="default"/>
              <w:lang w:val="en-US" w:eastAsia="zh-CN"/>
            </w:rPr>
            <w:t>2.1. 开展运维服务的优势</w:t>
          </w:r>
          <w:r>
            <w:tab/>
          </w:r>
          <w:r>
            <w:fldChar w:fldCharType="begin"/>
          </w:r>
          <w:r>
            <w:instrText xml:space="preserve"> PAGEREF _Toc27566 \h </w:instrText>
          </w:r>
          <w:r>
            <w:fldChar w:fldCharType="separate"/>
          </w:r>
          <w:r>
            <w:t>5</w:t>
          </w:r>
          <w:r>
            <w:fldChar w:fldCharType="end"/>
          </w:r>
          <w:r>
            <w:fldChar w:fldCharType="end"/>
          </w:r>
        </w:p>
        <w:p w14:paraId="167CD0A8">
          <w:pPr>
            <w:pStyle w:val="19"/>
            <w:tabs>
              <w:tab w:val="right" w:leader="dot" w:pos="8306"/>
            </w:tabs>
          </w:pPr>
          <w:r>
            <w:fldChar w:fldCharType="begin"/>
          </w:r>
          <w:r>
            <w:instrText xml:space="preserve"> HYPERLINK \l _Toc13815 </w:instrText>
          </w:r>
          <w:r>
            <w:fldChar w:fldCharType="separate"/>
          </w:r>
          <w:r>
            <w:rPr>
              <w:rFonts w:hint="default"/>
              <w:lang w:val="en-US" w:eastAsia="zh-CN"/>
            </w:rPr>
            <w:t>2.2. 开展运维服务的</w:t>
          </w:r>
          <w:r>
            <w:rPr>
              <w:rFonts w:hint="eastAsia"/>
              <w:lang w:val="en-US" w:eastAsia="zh-CN"/>
            </w:rPr>
            <w:t>重点工作</w:t>
          </w:r>
          <w:r>
            <w:tab/>
          </w:r>
          <w:r>
            <w:fldChar w:fldCharType="begin"/>
          </w:r>
          <w:r>
            <w:instrText xml:space="preserve"> PAGEREF _Toc13815 \h </w:instrText>
          </w:r>
          <w:r>
            <w:fldChar w:fldCharType="separate"/>
          </w:r>
          <w:r>
            <w:t>6</w:t>
          </w:r>
          <w:r>
            <w:fldChar w:fldCharType="end"/>
          </w:r>
          <w:r>
            <w:fldChar w:fldCharType="end"/>
          </w:r>
        </w:p>
        <w:p w14:paraId="36F3701E">
          <w:pPr>
            <w:pStyle w:val="14"/>
            <w:tabs>
              <w:tab w:val="right" w:leader="dot" w:pos="8306"/>
            </w:tabs>
          </w:pPr>
          <w:r>
            <w:fldChar w:fldCharType="begin"/>
          </w:r>
          <w:r>
            <w:instrText xml:space="preserve"> HYPERLINK \l _Toc24623 </w:instrText>
          </w:r>
          <w:r>
            <w:fldChar w:fldCharType="separate"/>
          </w:r>
          <w:r>
            <w:rPr>
              <w:rFonts w:hint="default"/>
              <w:lang w:val="en-US" w:eastAsia="zh-CN"/>
            </w:rPr>
            <w:t>2.2.1. 人员管理方面</w:t>
          </w:r>
          <w:r>
            <w:tab/>
          </w:r>
          <w:r>
            <w:fldChar w:fldCharType="begin"/>
          </w:r>
          <w:r>
            <w:instrText xml:space="preserve"> PAGEREF _Toc24623 \h </w:instrText>
          </w:r>
          <w:r>
            <w:fldChar w:fldCharType="separate"/>
          </w:r>
          <w:r>
            <w:t>6</w:t>
          </w:r>
          <w:r>
            <w:fldChar w:fldCharType="end"/>
          </w:r>
          <w:r>
            <w:fldChar w:fldCharType="end"/>
          </w:r>
        </w:p>
        <w:p w14:paraId="78C10F46">
          <w:pPr>
            <w:pStyle w:val="14"/>
            <w:tabs>
              <w:tab w:val="right" w:leader="dot" w:pos="8306"/>
            </w:tabs>
          </w:pPr>
          <w:r>
            <w:fldChar w:fldCharType="begin"/>
          </w:r>
          <w:r>
            <w:instrText xml:space="preserve"> HYPERLINK \l _Toc14397 </w:instrText>
          </w:r>
          <w:r>
            <w:fldChar w:fldCharType="separate"/>
          </w:r>
          <w:r>
            <w:rPr>
              <w:rFonts w:hint="default"/>
              <w:lang w:val="en-US" w:eastAsia="zh-CN"/>
            </w:rPr>
            <w:t>2.2.2. 资源管理方面</w:t>
          </w:r>
          <w:r>
            <w:tab/>
          </w:r>
          <w:r>
            <w:fldChar w:fldCharType="begin"/>
          </w:r>
          <w:r>
            <w:instrText xml:space="preserve"> PAGEREF _Toc14397 \h </w:instrText>
          </w:r>
          <w:r>
            <w:fldChar w:fldCharType="separate"/>
          </w:r>
          <w:r>
            <w:t>6</w:t>
          </w:r>
          <w:r>
            <w:fldChar w:fldCharType="end"/>
          </w:r>
          <w:r>
            <w:fldChar w:fldCharType="end"/>
          </w:r>
        </w:p>
        <w:p w14:paraId="4B8EF114">
          <w:pPr>
            <w:pStyle w:val="14"/>
            <w:tabs>
              <w:tab w:val="right" w:leader="dot" w:pos="8306"/>
            </w:tabs>
          </w:pPr>
          <w:r>
            <w:fldChar w:fldCharType="begin"/>
          </w:r>
          <w:r>
            <w:instrText xml:space="preserve"> HYPERLINK \l _Toc5669 </w:instrText>
          </w:r>
          <w:r>
            <w:fldChar w:fldCharType="separate"/>
          </w:r>
          <w:r>
            <w:rPr>
              <w:rFonts w:hint="default"/>
              <w:lang w:val="en-US" w:eastAsia="zh-CN"/>
            </w:rPr>
            <w:t>2.2.3. 技术管理方面</w:t>
          </w:r>
          <w:r>
            <w:tab/>
          </w:r>
          <w:r>
            <w:fldChar w:fldCharType="begin"/>
          </w:r>
          <w:r>
            <w:instrText xml:space="preserve"> PAGEREF _Toc5669 \h </w:instrText>
          </w:r>
          <w:r>
            <w:fldChar w:fldCharType="separate"/>
          </w:r>
          <w:r>
            <w:t>6</w:t>
          </w:r>
          <w:r>
            <w:fldChar w:fldCharType="end"/>
          </w:r>
          <w:r>
            <w:fldChar w:fldCharType="end"/>
          </w:r>
        </w:p>
        <w:p w14:paraId="37B3DD92">
          <w:pPr>
            <w:pStyle w:val="14"/>
            <w:tabs>
              <w:tab w:val="right" w:leader="dot" w:pos="8306"/>
            </w:tabs>
          </w:pPr>
          <w:r>
            <w:fldChar w:fldCharType="begin"/>
          </w:r>
          <w:r>
            <w:instrText xml:space="preserve"> HYPERLINK \l _Toc19367 </w:instrText>
          </w:r>
          <w:r>
            <w:fldChar w:fldCharType="separate"/>
          </w:r>
          <w:r>
            <w:rPr>
              <w:rFonts w:hint="default"/>
              <w:lang w:val="en-US" w:eastAsia="zh-CN"/>
            </w:rPr>
            <w:t>2.2.4. 过程管理方面</w:t>
          </w:r>
          <w:r>
            <w:tab/>
          </w:r>
          <w:r>
            <w:fldChar w:fldCharType="begin"/>
          </w:r>
          <w:r>
            <w:instrText xml:space="preserve"> PAGEREF _Toc19367 \h </w:instrText>
          </w:r>
          <w:r>
            <w:fldChar w:fldCharType="separate"/>
          </w:r>
          <w:r>
            <w:t>6</w:t>
          </w:r>
          <w:r>
            <w:fldChar w:fldCharType="end"/>
          </w:r>
          <w:r>
            <w:fldChar w:fldCharType="end"/>
          </w:r>
        </w:p>
        <w:p w14:paraId="7E7DF17C">
          <w:pPr>
            <w:pStyle w:val="17"/>
            <w:tabs>
              <w:tab w:val="right" w:leader="dot" w:pos="8306"/>
            </w:tabs>
          </w:pPr>
          <w:r>
            <w:fldChar w:fldCharType="begin"/>
          </w:r>
          <w:r>
            <w:instrText xml:space="preserve"> HYPERLINK \l _Toc31007 </w:instrText>
          </w:r>
          <w:r>
            <w:fldChar w:fldCharType="separate"/>
          </w:r>
          <w:r>
            <w:rPr>
              <w:rFonts w:hint="default"/>
              <w:lang w:val="en-US" w:eastAsia="zh-CN"/>
            </w:rPr>
            <w:t>3. 年度运维服务能力计划</w:t>
          </w:r>
          <w:r>
            <w:tab/>
          </w:r>
          <w:r>
            <w:fldChar w:fldCharType="begin"/>
          </w:r>
          <w:r>
            <w:instrText xml:space="preserve"> PAGEREF _Toc31007 \h </w:instrText>
          </w:r>
          <w:r>
            <w:fldChar w:fldCharType="separate"/>
          </w:r>
          <w:r>
            <w:t>6</w:t>
          </w:r>
          <w:r>
            <w:fldChar w:fldCharType="end"/>
          </w:r>
          <w:r>
            <w:fldChar w:fldCharType="end"/>
          </w:r>
        </w:p>
        <w:p w14:paraId="23852562">
          <w:pPr>
            <w:pStyle w:val="19"/>
            <w:tabs>
              <w:tab w:val="right" w:leader="dot" w:pos="8306"/>
            </w:tabs>
          </w:pPr>
          <w:r>
            <w:fldChar w:fldCharType="begin"/>
          </w:r>
          <w:r>
            <w:instrText xml:space="preserve"> HYPERLINK \l _Toc5035 </w:instrText>
          </w:r>
          <w:r>
            <w:fldChar w:fldCharType="separate"/>
          </w:r>
          <w:r>
            <w:rPr>
              <w:rFonts w:hint="default"/>
              <w:lang w:val="en-US" w:eastAsia="zh-CN"/>
            </w:rPr>
            <w:t>3.1. 人员管理规划</w:t>
          </w:r>
          <w:r>
            <w:tab/>
          </w:r>
          <w:r>
            <w:fldChar w:fldCharType="begin"/>
          </w:r>
          <w:r>
            <w:instrText xml:space="preserve"> PAGEREF _Toc5035 \h </w:instrText>
          </w:r>
          <w:r>
            <w:fldChar w:fldCharType="separate"/>
          </w:r>
          <w:r>
            <w:t>6</w:t>
          </w:r>
          <w:r>
            <w:fldChar w:fldCharType="end"/>
          </w:r>
          <w:r>
            <w:fldChar w:fldCharType="end"/>
          </w:r>
        </w:p>
        <w:p w14:paraId="4FBB050F">
          <w:pPr>
            <w:pStyle w:val="14"/>
            <w:tabs>
              <w:tab w:val="right" w:leader="dot" w:pos="8306"/>
            </w:tabs>
          </w:pPr>
          <w:r>
            <w:fldChar w:fldCharType="begin"/>
          </w:r>
          <w:r>
            <w:instrText xml:space="preserve"> HYPERLINK \l _Toc29786 </w:instrText>
          </w:r>
          <w:r>
            <w:fldChar w:fldCharType="separate"/>
          </w:r>
          <w:r>
            <w:rPr>
              <w:rFonts w:hint="default"/>
              <w:lang w:val="en-US" w:eastAsia="zh-CN"/>
            </w:rPr>
            <w:t xml:space="preserve">3.1.1. </w:t>
          </w:r>
          <w:r>
            <w:rPr>
              <w:rFonts w:hint="eastAsia"/>
              <w:lang w:val="en-US" w:eastAsia="zh-CN"/>
            </w:rPr>
            <w:t>人员招聘计划</w:t>
          </w:r>
          <w:r>
            <w:tab/>
          </w:r>
          <w:r>
            <w:fldChar w:fldCharType="begin"/>
          </w:r>
          <w:r>
            <w:instrText xml:space="preserve"> PAGEREF _Toc29786 \h </w:instrText>
          </w:r>
          <w:r>
            <w:fldChar w:fldCharType="separate"/>
          </w:r>
          <w:r>
            <w:t>7</w:t>
          </w:r>
          <w:r>
            <w:fldChar w:fldCharType="end"/>
          </w:r>
          <w:r>
            <w:fldChar w:fldCharType="end"/>
          </w:r>
        </w:p>
        <w:p w14:paraId="04249BDA">
          <w:pPr>
            <w:pStyle w:val="14"/>
            <w:tabs>
              <w:tab w:val="right" w:leader="dot" w:pos="8306"/>
            </w:tabs>
          </w:pPr>
          <w:r>
            <w:fldChar w:fldCharType="begin"/>
          </w:r>
          <w:r>
            <w:instrText xml:space="preserve"> HYPERLINK \l _Toc13766 </w:instrText>
          </w:r>
          <w:r>
            <w:fldChar w:fldCharType="separate"/>
          </w:r>
          <w:r>
            <w:rPr>
              <w:rFonts w:hint="default"/>
              <w:lang w:val="en-US" w:eastAsia="zh-CN"/>
            </w:rPr>
            <w:t xml:space="preserve">3.1.2. </w:t>
          </w:r>
          <w:r>
            <w:rPr>
              <w:rFonts w:hint="eastAsia"/>
              <w:lang w:val="en-US" w:eastAsia="zh-CN"/>
            </w:rPr>
            <w:t>人员储备计划</w:t>
          </w:r>
          <w:r>
            <w:tab/>
          </w:r>
          <w:r>
            <w:fldChar w:fldCharType="begin"/>
          </w:r>
          <w:r>
            <w:instrText xml:space="preserve"> PAGEREF _Toc13766 \h </w:instrText>
          </w:r>
          <w:r>
            <w:fldChar w:fldCharType="separate"/>
          </w:r>
          <w:r>
            <w:t>7</w:t>
          </w:r>
          <w:r>
            <w:fldChar w:fldCharType="end"/>
          </w:r>
          <w:r>
            <w:fldChar w:fldCharType="end"/>
          </w:r>
        </w:p>
        <w:p w14:paraId="4976878B">
          <w:pPr>
            <w:pStyle w:val="14"/>
            <w:tabs>
              <w:tab w:val="right" w:leader="dot" w:pos="8306"/>
            </w:tabs>
          </w:pPr>
          <w:r>
            <w:fldChar w:fldCharType="begin"/>
          </w:r>
          <w:r>
            <w:instrText xml:space="preserve"> HYPERLINK \l _Toc10694 </w:instrText>
          </w:r>
          <w:r>
            <w:fldChar w:fldCharType="separate"/>
          </w:r>
          <w:r>
            <w:rPr>
              <w:rFonts w:hint="default"/>
              <w:lang w:val="en-US" w:eastAsia="zh-CN"/>
            </w:rPr>
            <w:t xml:space="preserve">3.1.3. </w:t>
          </w:r>
          <w:r>
            <w:rPr>
              <w:rFonts w:hint="eastAsia"/>
              <w:lang w:val="en-US" w:eastAsia="zh-CN"/>
            </w:rPr>
            <w:t>人员培训计划</w:t>
          </w:r>
          <w:r>
            <w:tab/>
          </w:r>
          <w:r>
            <w:fldChar w:fldCharType="begin"/>
          </w:r>
          <w:r>
            <w:instrText xml:space="preserve"> PAGEREF _Toc10694 \h </w:instrText>
          </w:r>
          <w:r>
            <w:fldChar w:fldCharType="separate"/>
          </w:r>
          <w:r>
            <w:t>8</w:t>
          </w:r>
          <w:r>
            <w:fldChar w:fldCharType="end"/>
          </w:r>
          <w:r>
            <w:fldChar w:fldCharType="end"/>
          </w:r>
        </w:p>
        <w:p w14:paraId="264EFA3F">
          <w:pPr>
            <w:pStyle w:val="14"/>
            <w:tabs>
              <w:tab w:val="right" w:leader="dot" w:pos="8306"/>
            </w:tabs>
          </w:pPr>
          <w:r>
            <w:fldChar w:fldCharType="begin"/>
          </w:r>
          <w:r>
            <w:instrText xml:space="preserve"> HYPERLINK \l _Toc15591 </w:instrText>
          </w:r>
          <w:r>
            <w:fldChar w:fldCharType="separate"/>
          </w:r>
          <w:r>
            <w:rPr>
              <w:rFonts w:hint="default"/>
              <w:lang w:val="en-US" w:eastAsia="zh-CN"/>
            </w:rPr>
            <w:t xml:space="preserve">3.1.4. </w:t>
          </w:r>
          <w:r>
            <w:rPr>
              <w:rFonts w:hint="eastAsia"/>
              <w:lang w:val="en-US" w:eastAsia="zh-CN"/>
            </w:rPr>
            <w:t>人员备份计划</w:t>
          </w:r>
          <w:r>
            <w:tab/>
          </w:r>
          <w:r>
            <w:fldChar w:fldCharType="begin"/>
          </w:r>
          <w:r>
            <w:instrText xml:space="preserve"> PAGEREF _Toc15591 \h </w:instrText>
          </w:r>
          <w:r>
            <w:fldChar w:fldCharType="separate"/>
          </w:r>
          <w:r>
            <w:t>11</w:t>
          </w:r>
          <w:r>
            <w:fldChar w:fldCharType="end"/>
          </w:r>
          <w:r>
            <w:fldChar w:fldCharType="end"/>
          </w:r>
        </w:p>
        <w:p w14:paraId="1E32FE25">
          <w:pPr>
            <w:pStyle w:val="14"/>
            <w:tabs>
              <w:tab w:val="right" w:leader="dot" w:pos="8306"/>
            </w:tabs>
          </w:pPr>
          <w:r>
            <w:fldChar w:fldCharType="begin"/>
          </w:r>
          <w:r>
            <w:instrText xml:space="preserve"> HYPERLINK \l _Toc11860 </w:instrText>
          </w:r>
          <w:r>
            <w:fldChar w:fldCharType="separate"/>
          </w:r>
          <w:r>
            <w:rPr>
              <w:rFonts w:hint="default"/>
              <w:lang w:val="en-US" w:eastAsia="zh-CN"/>
            </w:rPr>
            <w:t xml:space="preserve">3.1.5. </w:t>
          </w:r>
          <w:r>
            <w:rPr>
              <w:rFonts w:hint="eastAsia"/>
              <w:lang w:val="en-US" w:eastAsia="zh-CN"/>
            </w:rPr>
            <w:t>人员绩效考核计划</w:t>
          </w:r>
          <w:r>
            <w:tab/>
          </w:r>
          <w:r>
            <w:fldChar w:fldCharType="begin"/>
          </w:r>
          <w:r>
            <w:instrText xml:space="preserve"> PAGEREF _Toc11860 \h </w:instrText>
          </w:r>
          <w:r>
            <w:fldChar w:fldCharType="separate"/>
          </w:r>
          <w:r>
            <w:t>12</w:t>
          </w:r>
          <w:r>
            <w:fldChar w:fldCharType="end"/>
          </w:r>
          <w:r>
            <w:fldChar w:fldCharType="end"/>
          </w:r>
        </w:p>
        <w:p w14:paraId="0C902191">
          <w:pPr>
            <w:pStyle w:val="14"/>
            <w:tabs>
              <w:tab w:val="right" w:leader="dot" w:pos="8306"/>
            </w:tabs>
          </w:pPr>
          <w:r>
            <w:fldChar w:fldCharType="begin"/>
          </w:r>
          <w:r>
            <w:instrText xml:space="preserve"> HYPERLINK \l _Toc12560 </w:instrText>
          </w:r>
          <w:r>
            <w:fldChar w:fldCharType="separate"/>
          </w:r>
          <w:r>
            <w:rPr>
              <w:rFonts w:hint="default"/>
              <w:lang w:val="en-US" w:eastAsia="zh-CN"/>
            </w:rPr>
            <w:t xml:space="preserve">3.1.6. </w:t>
          </w:r>
          <w:r>
            <w:rPr>
              <w:rFonts w:hint="eastAsia"/>
              <w:lang w:val="en-US" w:eastAsia="zh-CN"/>
            </w:rPr>
            <w:t>人员能力评定计划</w:t>
          </w:r>
          <w:r>
            <w:tab/>
          </w:r>
          <w:r>
            <w:fldChar w:fldCharType="begin"/>
          </w:r>
          <w:r>
            <w:instrText xml:space="preserve"> PAGEREF _Toc12560 \h </w:instrText>
          </w:r>
          <w:r>
            <w:fldChar w:fldCharType="separate"/>
          </w:r>
          <w:r>
            <w:t>12</w:t>
          </w:r>
          <w:r>
            <w:fldChar w:fldCharType="end"/>
          </w:r>
          <w:r>
            <w:fldChar w:fldCharType="end"/>
          </w:r>
        </w:p>
        <w:p w14:paraId="7B22B722">
          <w:pPr>
            <w:pStyle w:val="19"/>
            <w:tabs>
              <w:tab w:val="right" w:leader="dot" w:pos="8306"/>
            </w:tabs>
          </w:pPr>
          <w:r>
            <w:fldChar w:fldCharType="begin"/>
          </w:r>
          <w:r>
            <w:instrText xml:space="preserve"> HYPERLINK \l _Toc23938 </w:instrText>
          </w:r>
          <w:r>
            <w:fldChar w:fldCharType="separate"/>
          </w:r>
          <w:r>
            <w:rPr>
              <w:rFonts w:hint="default"/>
              <w:lang w:val="en-US" w:eastAsia="zh-CN"/>
            </w:rPr>
            <w:t xml:space="preserve">3.2. </w:t>
          </w:r>
          <w:r>
            <w:rPr>
              <w:rFonts w:hint="eastAsia"/>
              <w:lang w:val="en-US" w:eastAsia="zh-CN"/>
            </w:rPr>
            <w:t>资源管理规划</w:t>
          </w:r>
          <w:r>
            <w:tab/>
          </w:r>
          <w:r>
            <w:fldChar w:fldCharType="begin"/>
          </w:r>
          <w:r>
            <w:instrText xml:space="preserve"> PAGEREF _Toc23938 \h </w:instrText>
          </w:r>
          <w:r>
            <w:fldChar w:fldCharType="separate"/>
          </w:r>
          <w:r>
            <w:t>14</w:t>
          </w:r>
          <w:r>
            <w:fldChar w:fldCharType="end"/>
          </w:r>
          <w:r>
            <w:fldChar w:fldCharType="end"/>
          </w:r>
        </w:p>
        <w:p w14:paraId="18DF0709">
          <w:pPr>
            <w:pStyle w:val="14"/>
            <w:tabs>
              <w:tab w:val="right" w:leader="dot" w:pos="8306"/>
            </w:tabs>
          </w:pPr>
          <w:r>
            <w:fldChar w:fldCharType="begin"/>
          </w:r>
          <w:r>
            <w:instrText xml:space="preserve"> HYPERLINK \l _Toc19749 </w:instrText>
          </w:r>
          <w:r>
            <w:fldChar w:fldCharType="separate"/>
          </w:r>
          <w:r>
            <w:rPr>
              <w:rFonts w:hint="default"/>
              <w:lang w:val="en-US" w:eastAsia="zh-CN"/>
            </w:rPr>
            <w:t>3.2.1. 运维工具管理</w:t>
          </w:r>
          <w:r>
            <w:tab/>
          </w:r>
          <w:r>
            <w:fldChar w:fldCharType="begin"/>
          </w:r>
          <w:r>
            <w:instrText xml:space="preserve"> PAGEREF _Toc19749 \h </w:instrText>
          </w:r>
          <w:r>
            <w:fldChar w:fldCharType="separate"/>
          </w:r>
          <w:r>
            <w:t>14</w:t>
          </w:r>
          <w:r>
            <w:fldChar w:fldCharType="end"/>
          </w:r>
          <w:r>
            <w:fldChar w:fldCharType="end"/>
          </w:r>
        </w:p>
        <w:p w14:paraId="73005EAB">
          <w:pPr>
            <w:pStyle w:val="14"/>
            <w:tabs>
              <w:tab w:val="right" w:leader="dot" w:pos="8306"/>
            </w:tabs>
          </w:pPr>
          <w:r>
            <w:fldChar w:fldCharType="begin"/>
          </w:r>
          <w:r>
            <w:instrText xml:space="preserve"> HYPERLINK \l _Toc9862 </w:instrText>
          </w:r>
          <w:r>
            <w:fldChar w:fldCharType="separate"/>
          </w:r>
          <w:r>
            <w:rPr>
              <w:rFonts w:hint="default"/>
              <w:lang w:val="en-US" w:eastAsia="zh-CN"/>
            </w:rPr>
            <w:t>3.2.2. 服务知识管理</w:t>
          </w:r>
          <w:r>
            <w:tab/>
          </w:r>
          <w:r>
            <w:fldChar w:fldCharType="begin"/>
          </w:r>
          <w:r>
            <w:instrText xml:space="preserve"> PAGEREF _Toc9862 \h </w:instrText>
          </w:r>
          <w:r>
            <w:fldChar w:fldCharType="separate"/>
          </w:r>
          <w:r>
            <w:t>14</w:t>
          </w:r>
          <w:r>
            <w:fldChar w:fldCharType="end"/>
          </w:r>
          <w:r>
            <w:fldChar w:fldCharType="end"/>
          </w:r>
        </w:p>
        <w:p w14:paraId="6A5DADE3">
          <w:pPr>
            <w:pStyle w:val="14"/>
            <w:tabs>
              <w:tab w:val="right" w:leader="dot" w:pos="8306"/>
            </w:tabs>
          </w:pPr>
          <w:r>
            <w:fldChar w:fldCharType="begin"/>
          </w:r>
          <w:r>
            <w:instrText xml:space="preserve"> HYPERLINK \l _Toc19451 </w:instrText>
          </w:r>
          <w:r>
            <w:fldChar w:fldCharType="separate"/>
          </w:r>
          <w:r>
            <w:rPr>
              <w:rFonts w:hint="default"/>
              <w:lang w:val="en-US" w:eastAsia="zh-CN"/>
            </w:rPr>
            <w:t>3.2.3. 服务台管理</w:t>
          </w:r>
          <w:r>
            <w:tab/>
          </w:r>
          <w:r>
            <w:fldChar w:fldCharType="begin"/>
          </w:r>
          <w:r>
            <w:instrText xml:space="preserve"> PAGEREF _Toc19451 \h </w:instrText>
          </w:r>
          <w:r>
            <w:fldChar w:fldCharType="separate"/>
          </w:r>
          <w:r>
            <w:t>15</w:t>
          </w:r>
          <w:r>
            <w:fldChar w:fldCharType="end"/>
          </w:r>
          <w:r>
            <w:fldChar w:fldCharType="end"/>
          </w:r>
        </w:p>
        <w:p w14:paraId="40EEBCE4">
          <w:pPr>
            <w:pStyle w:val="14"/>
            <w:tabs>
              <w:tab w:val="right" w:leader="dot" w:pos="8306"/>
            </w:tabs>
          </w:pPr>
          <w:r>
            <w:fldChar w:fldCharType="begin"/>
          </w:r>
          <w:r>
            <w:instrText xml:space="preserve"> HYPERLINK \l _Toc1920 </w:instrText>
          </w:r>
          <w:r>
            <w:fldChar w:fldCharType="separate"/>
          </w:r>
          <w:r>
            <w:rPr>
              <w:rFonts w:hint="default"/>
              <w:lang w:val="en-US" w:eastAsia="zh-CN"/>
            </w:rPr>
            <w:t>3.2.4. 备件库管理</w:t>
          </w:r>
          <w:r>
            <w:tab/>
          </w:r>
          <w:r>
            <w:fldChar w:fldCharType="begin"/>
          </w:r>
          <w:r>
            <w:instrText xml:space="preserve"> PAGEREF _Toc1920 \h </w:instrText>
          </w:r>
          <w:r>
            <w:fldChar w:fldCharType="separate"/>
          </w:r>
          <w:r>
            <w:t>16</w:t>
          </w:r>
          <w:r>
            <w:fldChar w:fldCharType="end"/>
          </w:r>
          <w:r>
            <w:fldChar w:fldCharType="end"/>
          </w:r>
        </w:p>
        <w:p w14:paraId="6C97C915">
          <w:pPr>
            <w:pStyle w:val="14"/>
            <w:tabs>
              <w:tab w:val="right" w:leader="dot" w:pos="8306"/>
            </w:tabs>
          </w:pPr>
          <w:r>
            <w:fldChar w:fldCharType="begin"/>
          </w:r>
          <w:r>
            <w:instrText xml:space="preserve"> HYPERLINK \l _Toc20270 </w:instrText>
          </w:r>
          <w:r>
            <w:fldChar w:fldCharType="separate"/>
          </w:r>
          <w:r>
            <w:rPr>
              <w:rFonts w:hint="default"/>
              <w:lang w:val="en-US" w:eastAsia="zh-CN"/>
            </w:rPr>
            <w:t>3.2.5. 最终软件库管理</w:t>
          </w:r>
          <w:r>
            <w:tab/>
          </w:r>
          <w:r>
            <w:fldChar w:fldCharType="begin"/>
          </w:r>
          <w:r>
            <w:instrText xml:space="preserve"> PAGEREF _Toc20270 \h </w:instrText>
          </w:r>
          <w:r>
            <w:fldChar w:fldCharType="separate"/>
          </w:r>
          <w:r>
            <w:t>17</w:t>
          </w:r>
          <w:r>
            <w:fldChar w:fldCharType="end"/>
          </w:r>
          <w:r>
            <w:fldChar w:fldCharType="end"/>
          </w:r>
        </w:p>
        <w:p w14:paraId="6B3E3AC0">
          <w:pPr>
            <w:pStyle w:val="14"/>
            <w:tabs>
              <w:tab w:val="right" w:leader="dot" w:pos="8306"/>
            </w:tabs>
          </w:pPr>
          <w:r>
            <w:fldChar w:fldCharType="begin"/>
          </w:r>
          <w:r>
            <w:instrText xml:space="preserve"> HYPERLINK \l _Toc20387 </w:instrText>
          </w:r>
          <w:r>
            <w:fldChar w:fldCharType="separate"/>
          </w:r>
          <w:r>
            <w:rPr>
              <w:rFonts w:hint="default"/>
              <w:lang w:val="en-US" w:eastAsia="zh-CN"/>
            </w:rPr>
            <w:t>3.2.6. 服务数据管理</w:t>
          </w:r>
          <w:r>
            <w:tab/>
          </w:r>
          <w:r>
            <w:fldChar w:fldCharType="begin"/>
          </w:r>
          <w:r>
            <w:instrText xml:space="preserve"> PAGEREF _Toc20387 \h </w:instrText>
          </w:r>
          <w:r>
            <w:fldChar w:fldCharType="separate"/>
          </w:r>
          <w:r>
            <w:t>17</w:t>
          </w:r>
          <w:r>
            <w:fldChar w:fldCharType="end"/>
          </w:r>
          <w:r>
            <w:fldChar w:fldCharType="end"/>
          </w:r>
        </w:p>
        <w:p w14:paraId="7FAC7811">
          <w:pPr>
            <w:pStyle w:val="19"/>
            <w:tabs>
              <w:tab w:val="right" w:leader="dot" w:pos="8306"/>
            </w:tabs>
          </w:pPr>
          <w:r>
            <w:fldChar w:fldCharType="begin"/>
          </w:r>
          <w:r>
            <w:instrText xml:space="preserve"> HYPERLINK \l _Toc13629 </w:instrText>
          </w:r>
          <w:r>
            <w:fldChar w:fldCharType="separate"/>
          </w:r>
          <w:r>
            <w:rPr>
              <w:rFonts w:hint="default"/>
              <w:lang w:val="en-US" w:eastAsia="zh-CN"/>
            </w:rPr>
            <w:t xml:space="preserve">3.3. </w:t>
          </w:r>
          <w:r>
            <w:rPr>
              <w:rFonts w:hint="eastAsia"/>
              <w:lang w:val="en-US" w:eastAsia="zh-CN"/>
            </w:rPr>
            <w:t>技术研发规划</w:t>
          </w:r>
          <w:r>
            <w:tab/>
          </w:r>
          <w:r>
            <w:fldChar w:fldCharType="begin"/>
          </w:r>
          <w:r>
            <w:instrText xml:space="preserve"> PAGEREF _Toc13629 \h </w:instrText>
          </w:r>
          <w:r>
            <w:fldChar w:fldCharType="separate"/>
          </w:r>
          <w:r>
            <w:t>18</w:t>
          </w:r>
          <w:r>
            <w:fldChar w:fldCharType="end"/>
          </w:r>
          <w:r>
            <w:fldChar w:fldCharType="end"/>
          </w:r>
        </w:p>
        <w:p w14:paraId="13EC76C0">
          <w:pPr>
            <w:pStyle w:val="14"/>
            <w:tabs>
              <w:tab w:val="right" w:leader="dot" w:pos="8306"/>
            </w:tabs>
          </w:pPr>
          <w:r>
            <w:fldChar w:fldCharType="begin"/>
          </w:r>
          <w:r>
            <w:instrText xml:space="preserve"> HYPERLINK \l _Toc18223 </w:instrText>
          </w:r>
          <w:r>
            <w:fldChar w:fldCharType="separate"/>
          </w:r>
          <w:r>
            <w:rPr>
              <w:rFonts w:hint="default"/>
              <w:lang w:val="en-US" w:eastAsia="zh-CN"/>
            </w:rPr>
            <w:t>3.3.1. 研发现状</w:t>
          </w:r>
          <w:r>
            <w:tab/>
          </w:r>
          <w:r>
            <w:fldChar w:fldCharType="begin"/>
          </w:r>
          <w:r>
            <w:instrText xml:space="preserve"> PAGEREF _Toc18223 \h </w:instrText>
          </w:r>
          <w:r>
            <w:fldChar w:fldCharType="separate"/>
          </w:r>
          <w:r>
            <w:t>18</w:t>
          </w:r>
          <w:r>
            <w:fldChar w:fldCharType="end"/>
          </w:r>
          <w:r>
            <w:fldChar w:fldCharType="end"/>
          </w:r>
        </w:p>
        <w:p w14:paraId="7E6CF67A">
          <w:pPr>
            <w:pStyle w:val="14"/>
            <w:tabs>
              <w:tab w:val="right" w:leader="dot" w:pos="8306"/>
            </w:tabs>
          </w:pPr>
          <w:r>
            <w:fldChar w:fldCharType="begin"/>
          </w:r>
          <w:r>
            <w:instrText xml:space="preserve"> HYPERLINK \l _Toc8708 </w:instrText>
          </w:r>
          <w:r>
            <w:fldChar w:fldCharType="separate"/>
          </w:r>
          <w:r>
            <w:rPr>
              <w:rFonts w:hint="default"/>
              <w:lang w:val="en-US" w:eastAsia="zh-CN"/>
            </w:rPr>
            <w:t>3.3.2. 研发目标</w:t>
          </w:r>
          <w:r>
            <w:tab/>
          </w:r>
          <w:r>
            <w:fldChar w:fldCharType="begin"/>
          </w:r>
          <w:r>
            <w:instrText xml:space="preserve"> PAGEREF _Toc8708 \h </w:instrText>
          </w:r>
          <w:r>
            <w:fldChar w:fldCharType="separate"/>
          </w:r>
          <w:r>
            <w:t>18</w:t>
          </w:r>
          <w:r>
            <w:fldChar w:fldCharType="end"/>
          </w:r>
          <w:r>
            <w:fldChar w:fldCharType="end"/>
          </w:r>
        </w:p>
        <w:p w14:paraId="2EDB73EF">
          <w:pPr>
            <w:pStyle w:val="14"/>
            <w:tabs>
              <w:tab w:val="right" w:leader="dot" w:pos="8306"/>
            </w:tabs>
          </w:pPr>
          <w:r>
            <w:fldChar w:fldCharType="begin"/>
          </w:r>
          <w:r>
            <w:instrText xml:space="preserve"> HYPERLINK \l _Toc5299 </w:instrText>
          </w:r>
          <w:r>
            <w:fldChar w:fldCharType="separate"/>
          </w:r>
          <w:r>
            <w:rPr>
              <w:rFonts w:hint="default"/>
              <w:lang w:val="en-US" w:eastAsia="zh-CN"/>
            </w:rPr>
            <w:t xml:space="preserve">3.3.3. </w:t>
          </w:r>
          <w:r>
            <w:rPr>
              <w:rFonts w:hint="eastAsia"/>
              <w:lang w:val="en-US" w:eastAsia="zh-CN"/>
            </w:rPr>
            <w:t>研发计划</w:t>
          </w:r>
          <w:r>
            <w:tab/>
          </w:r>
          <w:r>
            <w:fldChar w:fldCharType="begin"/>
          </w:r>
          <w:r>
            <w:instrText xml:space="preserve"> PAGEREF _Toc5299 \h </w:instrText>
          </w:r>
          <w:r>
            <w:fldChar w:fldCharType="separate"/>
          </w:r>
          <w:r>
            <w:t>18</w:t>
          </w:r>
          <w:r>
            <w:fldChar w:fldCharType="end"/>
          </w:r>
          <w:r>
            <w:fldChar w:fldCharType="end"/>
          </w:r>
        </w:p>
        <w:p w14:paraId="57C59A0C">
          <w:pPr>
            <w:pStyle w:val="19"/>
            <w:tabs>
              <w:tab w:val="right" w:leader="dot" w:pos="8306"/>
            </w:tabs>
          </w:pPr>
          <w:r>
            <w:fldChar w:fldCharType="begin"/>
          </w:r>
          <w:r>
            <w:instrText xml:space="preserve"> HYPERLINK \l _Toc21390 </w:instrText>
          </w:r>
          <w:r>
            <w:fldChar w:fldCharType="separate"/>
          </w:r>
          <w:r>
            <w:rPr>
              <w:rFonts w:hint="default"/>
              <w:lang w:val="en-US" w:eastAsia="zh-CN"/>
            </w:rPr>
            <w:t xml:space="preserve">3.4. </w:t>
          </w:r>
          <w:r>
            <w:rPr>
              <w:rFonts w:hint="eastAsia"/>
              <w:lang w:val="en-US" w:eastAsia="zh-CN"/>
            </w:rPr>
            <w:t>过程管理规划</w:t>
          </w:r>
          <w:r>
            <w:tab/>
          </w:r>
          <w:r>
            <w:fldChar w:fldCharType="begin"/>
          </w:r>
          <w:r>
            <w:instrText xml:space="preserve"> PAGEREF _Toc21390 \h </w:instrText>
          </w:r>
          <w:r>
            <w:fldChar w:fldCharType="separate"/>
          </w:r>
          <w:r>
            <w:t>19</w:t>
          </w:r>
          <w:r>
            <w:fldChar w:fldCharType="end"/>
          </w:r>
          <w:r>
            <w:fldChar w:fldCharType="end"/>
          </w:r>
        </w:p>
        <w:p w14:paraId="02811C72">
          <w:pPr>
            <w:pStyle w:val="14"/>
            <w:tabs>
              <w:tab w:val="right" w:leader="dot" w:pos="8306"/>
            </w:tabs>
          </w:pPr>
          <w:r>
            <w:fldChar w:fldCharType="begin"/>
          </w:r>
          <w:r>
            <w:instrText xml:space="preserve"> HYPERLINK \l _Toc12533 </w:instrText>
          </w:r>
          <w:r>
            <w:fldChar w:fldCharType="separate"/>
          </w:r>
          <w:r>
            <w:rPr>
              <w:rFonts w:hint="default"/>
              <w:lang w:val="en-US" w:eastAsia="zh-CN"/>
            </w:rPr>
            <w:t xml:space="preserve">3.4.1. </w:t>
          </w:r>
          <w:r>
            <w:rPr>
              <w:rFonts w:hint="eastAsia"/>
              <w:lang w:val="en-US" w:eastAsia="zh-CN"/>
            </w:rPr>
            <w:t>过程框架管理</w:t>
          </w:r>
          <w:r>
            <w:tab/>
          </w:r>
          <w:r>
            <w:fldChar w:fldCharType="begin"/>
          </w:r>
          <w:r>
            <w:instrText xml:space="preserve"> PAGEREF _Toc12533 \h </w:instrText>
          </w:r>
          <w:r>
            <w:fldChar w:fldCharType="separate"/>
          </w:r>
          <w:r>
            <w:t>19</w:t>
          </w:r>
          <w:r>
            <w:fldChar w:fldCharType="end"/>
          </w:r>
          <w:r>
            <w:fldChar w:fldCharType="end"/>
          </w:r>
        </w:p>
        <w:p w14:paraId="0D02FC32">
          <w:pPr>
            <w:pStyle w:val="14"/>
            <w:tabs>
              <w:tab w:val="right" w:leader="dot" w:pos="8306"/>
            </w:tabs>
          </w:pPr>
          <w:r>
            <w:fldChar w:fldCharType="begin"/>
          </w:r>
          <w:r>
            <w:instrText xml:space="preserve"> HYPERLINK \l _Toc28361 </w:instrText>
          </w:r>
          <w:r>
            <w:fldChar w:fldCharType="separate"/>
          </w:r>
          <w:r>
            <w:rPr>
              <w:rFonts w:hint="default"/>
              <w:lang w:val="en-US" w:eastAsia="zh-CN"/>
            </w:rPr>
            <w:t xml:space="preserve">3.4.2. </w:t>
          </w:r>
          <w:r>
            <w:rPr>
              <w:rFonts w:hint="eastAsia"/>
              <w:lang w:val="en-US" w:eastAsia="zh-CN"/>
            </w:rPr>
            <w:t>服务级别管理</w:t>
          </w:r>
          <w:r>
            <w:tab/>
          </w:r>
          <w:r>
            <w:fldChar w:fldCharType="begin"/>
          </w:r>
          <w:r>
            <w:instrText xml:space="preserve"> PAGEREF _Toc28361 \h </w:instrText>
          </w:r>
          <w:r>
            <w:fldChar w:fldCharType="separate"/>
          </w:r>
          <w:r>
            <w:t>19</w:t>
          </w:r>
          <w:r>
            <w:fldChar w:fldCharType="end"/>
          </w:r>
          <w:r>
            <w:fldChar w:fldCharType="end"/>
          </w:r>
        </w:p>
        <w:p w14:paraId="48037FF7">
          <w:pPr>
            <w:pStyle w:val="14"/>
            <w:tabs>
              <w:tab w:val="right" w:leader="dot" w:pos="8306"/>
            </w:tabs>
          </w:pPr>
          <w:r>
            <w:fldChar w:fldCharType="begin"/>
          </w:r>
          <w:r>
            <w:instrText xml:space="preserve"> HYPERLINK \l _Toc1895 </w:instrText>
          </w:r>
          <w:r>
            <w:fldChar w:fldCharType="separate"/>
          </w:r>
          <w:r>
            <w:rPr>
              <w:rFonts w:hint="default"/>
              <w:lang w:val="en-US" w:eastAsia="zh-CN"/>
            </w:rPr>
            <w:t xml:space="preserve">3.4.3. </w:t>
          </w:r>
          <w:r>
            <w:rPr>
              <w:rFonts w:hint="eastAsia"/>
              <w:lang w:val="en-US" w:eastAsia="zh-CN"/>
            </w:rPr>
            <w:t>服务报告管理</w:t>
          </w:r>
          <w:r>
            <w:tab/>
          </w:r>
          <w:r>
            <w:fldChar w:fldCharType="begin"/>
          </w:r>
          <w:r>
            <w:instrText xml:space="preserve"> PAGEREF _Toc1895 \h </w:instrText>
          </w:r>
          <w:r>
            <w:fldChar w:fldCharType="separate"/>
          </w:r>
          <w:r>
            <w:t>20</w:t>
          </w:r>
          <w:r>
            <w:fldChar w:fldCharType="end"/>
          </w:r>
          <w:r>
            <w:fldChar w:fldCharType="end"/>
          </w:r>
        </w:p>
        <w:p w14:paraId="19E7AB40">
          <w:pPr>
            <w:pStyle w:val="14"/>
            <w:tabs>
              <w:tab w:val="right" w:leader="dot" w:pos="8306"/>
            </w:tabs>
          </w:pPr>
          <w:r>
            <w:fldChar w:fldCharType="begin"/>
          </w:r>
          <w:r>
            <w:instrText xml:space="preserve"> HYPERLINK \l _Toc2735 </w:instrText>
          </w:r>
          <w:r>
            <w:fldChar w:fldCharType="separate"/>
          </w:r>
          <w:r>
            <w:rPr>
              <w:rFonts w:hint="default"/>
              <w:lang w:val="en-US" w:eastAsia="zh-CN"/>
            </w:rPr>
            <w:t xml:space="preserve">3.4.4. </w:t>
          </w:r>
          <w:r>
            <w:rPr>
              <w:rFonts w:hint="eastAsia"/>
              <w:lang w:val="en-US" w:eastAsia="zh-CN"/>
            </w:rPr>
            <w:t>事件管理</w:t>
          </w:r>
          <w:r>
            <w:tab/>
          </w:r>
          <w:r>
            <w:fldChar w:fldCharType="begin"/>
          </w:r>
          <w:r>
            <w:instrText xml:space="preserve"> PAGEREF _Toc2735 \h </w:instrText>
          </w:r>
          <w:r>
            <w:fldChar w:fldCharType="separate"/>
          </w:r>
          <w:r>
            <w:t>20</w:t>
          </w:r>
          <w:r>
            <w:fldChar w:fldCharType="end"/>
          </w:r>
          <w:r>
            <w:fldChar w:fldCharType="end"/>
          </w:r>
        </w:p>
        <w:p w14:paraId="5E29DE51">
          <w:pPr>
            <w:pStyle w:val="14"/>
            <w:tabs>
              <w:tab w:val="right" w:leader="dot" w:pos="8306"/>
            </w:tabs>
          </w:pPr>
          <w:r>
            <w:fldChar w:fldCharType="begin"/>
          </w:r>
          <w:r>
            <w:instrText xml:space="preserve"> HYPERLINK \l _Toc3872 </w:instrText>
          </w:r>
          <w:r>
            <w:fldChar w:fldCharType="separate"/>
          </w:r>
          <w:r>
            <w:rPr>
              <w:rFonts w:hint="default"/>
              <w:lang w:val="en-US" w:eastAsia="zh-CN"/>
            </w:rPr>
            <w:t xml:space="preserve">3.4.5. </w:t>
          </w:r>
          <w:r>
            <w:rPr>
              <w:rFonts w:hint="eastAsia"/>
              <w:lang w:val="en-US" w:eastAsia="zh-CN"/>
            </w:rPr>
            <w:t>问题管理</w:t>
          </w:r>
          <w:r>
            <w:tab/>
          </w:r>
          <w:r>
            <w:fldChar w:fldCharType="begin"/>
          </w:r>
          <w:r>
            <w:instrText xml:space="preserve"> PAGEREF _Toc3872 \h </w:instrText>
          </w:r>
          <w:r>
            <w:fldChar w:fldCharType="separate"/>
          </w:r>
          <w:r>
            <w:t>21</w:t>
          </w:r>
          <w:r>
            <w:fldChar w:fldCharType="end"/>
          </w:r>
          <w:r>
            <w:fldChar w:fldCharType="end"/>
          </w:r>
        </w:p>
        <w:p w14:paraId="232AEED2">
          <w:pPr>
            <w:pStyle w:val="14"/>
            <w:tabs>
              <w:tab w:val="right" w:leader="dot" w:pos="8306"/>
            </w:tabs>
          </w:pPr>
          <w:r>
            <w:fldChar w:fldCharType="begin"/>
          </w:r>
          <w:r>
            <w:instrText xml:space="preserve"> HYPERLINK \l _Toc13789 </w:instrText>
          </w:r>
          <w:r>
            <w:fldChar w:fldCharType="separate"/>
          </w:r>
          <w:r>
            <w:rPr>
              <w:rFonts w:hint="default"/>
              <w:lang w:val="en-US" w:eastAsia="zh-CN"/>
            </w:rPr>
            <w:t xml:space="preserve">3.4.6. </w:t>
          </w:r>
          <w:r>
            <w:rPr>
              <w:rFonts w:hint="eastAsia"/>
              <w:lang w:val="en-US" w:eastAsia="zh-CN"/>
            </w:rPr>
            <w:t>变更管理</w:t>
          </w:r>
          <w:r>
            <w:tab/>
          </w:r>
          <w:r>
            <w:fldChar w:fldCharType="begin"/>
          </w:r>
          <w:r>
            <w:instrText xml:space="preserve"> PAGEREF _Toc13789 \h </w:instrText>
          </w:r>
          <w:r>
            <w:fldChar w:fldCharType="separate"/>
          </w:r>
          <w:r>
            <w:t>22</w:t>
          </w:r>
          <w:r>
            <w:fldChar w:fldCharType="end"/>
          </w:r>
          <w:r>
            <w:fldChar w:fldCharType="end"/>
          </w:r>
        </w:p>
        <w:p w14:paraId="478CFB3B">
          <w:pPr>
            <w:pStyle w:val="14"/>
            <w:tabs>
              <w:tab w:val="right" w:leader="dot" w:pos="8306"/>
            </w:tabs>
          </w:pPr>
          <w:r>
            <w:fldChar w:fldCharType="begin"/>
          </w:r>
          <w:r>
            <w:instrText xml:space="preserve"> HYPERLINK \l _Toc18601 </w:instrText>
          </w:r>
          <w:r>
            <w:fldChar w:fldCharType="separate"/>
          </w:r>
          <w:r>
            <w:rPr>
              <w:rFonts w:hint="default"/>
              <w:lang w:val="en-US" w:eastAsia="zh-CN"/>
            </w:rPr>
            <w:t xml:space="preserve">3.4.7. </w:t>
          </w:r>
          <w:r>
            <w:rPr>
              <w:rFonts w:hint="eastAsia"/>
              <w:lang w:val="en-US" w:eastAsia="zh-CN"/>
            </w:rPr>
            <w:t>发布管理</w:t>
          </w:r>
          <w:r>
            <w:tab/>
          </w:r>
          <w:r>
            <w:fldChar w:fldCharType="begin"/>
          </w:r>
          <w:r>
            <w:instrText xml:space="preserve"> PAGEREF _Toc18601 \h </w:instrText>
          </w:r>
          <w:r>
            <w:fldChar w:fldCharType="separate"/>
          </w:r>
          <w:r>
            <w:t>22</w:t>
          </w:r>
          <w:r>
            <w:fldChar w:fldCharType="end"/>
          </w:r>
          <w:r>
            <w:fldChar w:fldCharType="end"/>
          </w:r>
        </w:p>
        <w:p w14:paraId="494F0748">
          <w:pPr>
            <w:pStyle w:val="14"/>
            <w:tabs>
              <w:tab w:val="right" w:leader="dot" w:pos="8306"/>
            </w:tabs>
          </w:pPr>
          <w:r>
            <w:fldChar w:fldCharType="begin"/>
          </w:r>
          <w:r>
            <w:instrText xml:space="preserve"> HYPERLINK \l _Toc20907 </w:instrText>
          </w:r>
          <w:r>
            <w:fldChar w:fldCharType="separate"/>
          </w:r>
          <w:r>
            <w:rPr>
              <w:rFonts w:hint="default"/>
              <w:lang w:val="en-US" w:eastAsia="zh-CN"/>
            </w:rPr>
            <w:t xml:space="preserve">3.4.8. </w:t>
          </w:r>
          <w:r>
            <w:rPr>
              <w:rFonts w:hint="eastAsia"/>
              <w:lang w:val="en-US" w:eastAsia="zh-CN"/>
            </w:rPr>
            <w:t>配置管理</w:t>
          </w:r>
          <w:r>
            <w:tab/>
          </w:r>
          <w:r>
            <w:fldChar w:fldCharType="begin"/>
          </w:r>
          <w:r>
            <w:instrText xml:space="preserve"> PAGEREF _Toc20907 \h </w:instrText>
          </w:r>
          <w:r>
            <w:fldChar w:fldCharType="separate"/>
          </w:r>
          <w:r>
            <w:t>22</w:t>
          </w:r>
          <w:r>
            <w:fldChar w:fldCharType="end"/>
          </w:r>
          <w:r>
            <w:fldChar w:fldCharType="end"/>
          </w:r>
        </w:p>
        <w:p w14:paraId="4FFC1730">
          <w:pPr>
            <w:pStyle w:val="14"/>
            <w:tabs>
              <w:tab w:val="right" w:leader="dot" w:pos="8306"/>
            </w:tabs>
          </w:pPr>
          <w:r>
            <w:fldChar w:fldCharType="begin"/>
          </w:r>
          <w:r>
            <w:instrText xml:space="preserve"> HYPERLINK \l _Toc12063 </w:instrText>
          </w:r>
          <w:r>
            <w:fldChar w:fldCharType="separate"/>
          </w:r>
          <w:r>
            <w:rPr>
              <w:rFonts w:hint="default"/>
              <w:lang w:val="en-US" w:eastAsia="zh-CN"/>
            </w:rPr>
            <w:t xml:space="preserve">3.4.9. </w:t>
          </w:r>
          <w:r>
            <w:rPr>
              <w:rFonts w:hint="eastAsia"/>
              <w:lang w:val="en-US" w:eastAsia="zh-CN"/>
            </w:rPr>
            <w:t>可用性和连续性管理</w:t>
          </w:r>
          <w:r>
            <w:tab/>
          </w:r>
          <w:r>
            <w:fldChar w:fldCharType="begin"/>
          </w:r>
          <w:r>
            <w:instrText xml:space="preserve"> PAGEREF _Toc12063 \h </w:instrText>
          </w:r>
          <w:r>
            <w:fldChar w:fldCharType="separate"/>
          </w:r>
          <w:r>
            <w:t>23</w:t>
          </w:r>
          <w:r>
            <w:fldChar w:fldCharType="end"/>
          </w:r>
          <w:r>
            <w:fldChar w:fldCharType="end"/>
          </w:r>
        </w:p>
        <w:p w14:paraId="5602D4B9">
          <w:pPr>
            <w:pStyle w:val="14"/>
            <w:tabs>
              <w:tab w:val="right" w:leader="dot" w:pos="8306"/>
            </w:tabs>
          </w:pPr>
          <w:r>
            <w:fldChar w:fldCharType="begin"/>
          </w:r>
          <w:r>
            <w:instrText xml:space="preserve"> HYPERLINK \l _Toc14151 </w:instrText>
          </w:r>
          <w:r>
            <w:fldChar w:fldCharType="separate"/>
          </w:r>
          <w:r>
            <w:rPr>
              <w:rFonts w:hint="default"/>
              <w:lang w:val="en-US" w:eastAsia="zh-CN"/>
            </w:rPr>
            <w:t xml:space="preserve">3.4.10. </w:t>
          </w:r>
          <w:r>
            <w:rPr>
              <w:rFonts w:hint="eastAsia"/>
              <w:lang w:val="en-US" w:eastAsia="zh-CN"/>
            </w:rPr>
            <w:t>容量管理</w:t>
          </w:r>
          <w:r>
            <w:tab/>
          </w:r>
          <w:r>
            <w:fldChar w:fldCharType="begin"/>
          </w:r>
          <w:r>
            <w:instrText xml:space="preserve"> PAGEREF _Toc14151 \h </w:instrText>
          </w:r>
          <w:r>
            <w:fldChar w:fldCharType="separate"/>
          </w:r>
          <w:r>
            <w:t>24</w:t>
          </w:r>
          <w:r>
            <w:fldChar w:fldCharType="end"/>
          </w:r>
          <w:r>
            <w:fldChar w:fldCharType="end"/>
          </w:r>
        </w:p>
        <w:p w14:paraId="403E6CF6">
          <w:pPr>
            <w:pStyle w:val="14"/>
            <w:tabs>
              <w:tab w:val="right" w:leader="dot" w:pos="8306"/>
            </w:tabs>
          </w:pPr>
          <w:r>
            <w:fldChar w:fldCharType="begin"/>
          </w:r>
          <w:r>
            <w:instrText xml:space="preserve"> HYPERLINK \l _Toc24440 </w:instrText>
          </w:r>
          <w:r>
            <w:fldChar w:fldCharType="separate"/>
          </w:r>
          <w:r>
            <w:rPr>
              <w:rFonts w:hint="default"/>
              <w:lang w:val="en-US" w:eastAsia="zh-CN"/>
            </w:rPr>
            <w:t xml:space="preserve">3.4.11. </w:t>
          </w:r>
          <w:r>
            <w:rPr>
              <w:rFonts w:hint="eastAsia"/>
              <w:lang w:val="en-US" w:eastAsia="zh-CN"/>
            </w:rPr>
            <w:t>信息安全管理</w:t>
          </w:r>
          <w:r>
            <w:tab/>
          </w:r>
          <w:r>
            <w:fldChar w:fldCharType="begin"/>
          </w:r>
          <w:r>
            <w:instrText xml:space="preserve"> PAGEREF _Toc24440 \h </w:instrText>
          </w:r>
          <w:r>
            <w:fldChar w:fldCharType="separate"/>
          </w:r>
          <w:r>
            <w:t>24</w:t>
          </w:r>
          <w:r>
            <w:fldChar w:fldCharType="end"/>
          </w:r>
          <w:r>
            <w:fldChar w:fldCharType="end"/>
          </w:r>
        </w:p>
        <w:p w14:paraId="7B895A15">
          <w:pPr>
            <w:pStyle w:val="19"/>
            <w:tabs>
              <w:tab w:val="right" w:leader="dot" w:pos="8306"/>
            </w:tabs>
          </w:pPr>
          <w:r>
            <w:fldChar w:fldCharType="begin"/>
          </w:r>
          <w:r>
            <w:instrText xml:space="preserve"> HYPERLINK \l _Toc32349 </w:instrText>
          </w:r>
          <w:r>
            <w:fldChar w:fldCharType="separate"/>
          </w:r>
          <w:r>
            <w:rPr>
              <w:rFonts w:hint="default"/>
              <w:lang w:val="en-US" w:eastAsia="zh-CN"/>
            </w:rPr>
            <w:t xml:space="preserve">3.5. </w:t>
          </w:r>
          <w:r>
            <w:rPr>
              <w:rFonts w:hint="eastAsia"/>
              <w:lang w:val="en-US" w:eastAsia="zh-CN"/>
            </w:rPr>
            <w:t>交付管理规划</w:t>
          </w:r>
          <w:r>
            <w:tab/>
          </w:r>
          <w:r>
            <w:fldChar w:fldCharType="begin"/>
          </w:r>
          <w:r>
            <w:instrText xml:space="preserve"> PAGEREF _Toc32349 \h </w:instrText>
          </w:r>
          <w:r>
            <w:fldChar w:fldCharType="separate"/>
          </w:r>
          <w:r>
            <w:t>25</w:t>
          </w:r>
          <w:r>
            <w:fldChar w:fldCharType="end"/>
          </w:r>
          <w:r>
            <w:fldChar w:fldCharType="end"/>
          </w:r>
        </w:p>
        <w:p w14:paraId="051620E9">
          <w:pPr>
            <w:pStyle w:val="14"/>
            <w:tabs>
              <w:tab w:val="right" w:leader="dot" w:pos="8306"/>
            </w:tabs>
          </w:pPr>
          <w:r>
            <w:fldChar w:fldCharType="begin"/>
          </w:r>
          <w:r>
            <w:instrText xml:space="preserve"> HYPERLINK \l _Toc3826 </w:instrText>
          </w:r>
          <w:r>
            <w:fldChar w:fldCharType="separate"/>
          </w:r>
          <w:r>
            <w:rPr>
              <w:rFonts w:hint="default"/>
              <w:lang w:val="en-US" w:eastAsia="zh-CN"/>
            </w:rPr>
            <w:t xml:space="preserve">3.5.1. </w:t>
          </w:r>
          <w:r>
            <w:rPr>
              <w:rFonts w:hint="eastAsia"/>
              <w:lang w:val="en-US" w:eastAsia="zh-CN"/>
            </w:rPr>
            <w:t>交付策划</w:t>
          </w:r>
          <w:r>
            <w:tab/>
          </w:r>
          <w:r>
            <w:fldChar w:fldCharType="begin"/>
          </w:r>
          <w:r>
            <w:instrText xml:space="preserve"> PAGEREF _Toc3826 \h </w:instrText>
          </w:r>
          <w:r>
            <w:fldChar w:fldCharType="separate"/>
          </w:r>
          <w:r>
            <w:t>25</w:t>
          </w:r>
          <w:r>
            <w:fldChar w:fldCharType="end"/>
          </w:r>
          <w:r>
            <w:fldChar w:fldCharType="end"/>
          </w:r>
        </w:p>
        <w:p w14:paraId="42EB2314">
          <w:pPr>
            <w:pStyle w:val="14"/>
            <w:tabs>
              <w:tab w:val="right" w:leader="dot" w:pos="8306"/>
            </w:tabs>
          </w:pPr>
          <w:r>
            <w:fldChar w:fldCharType="begin"/>
          </w:r>
          <w:r>
            <w:instrText xml:space="preserve"> HYPERLINK \l _Toc14934 </w:instrText>
          </w:r>
          <w:r>
            <w:fldChar w:fldCharType="separate"/>
          </w:r>
          <w:r>
            <w:rPr>
              <w:rFonts w:hint="default"/>
              <w:lang w:val="en-US" w:eastAsia="zh-CN"/>
            </w:rPr>
            <w:t xml:space="preserve">3.5.2. </w:t>
          </w:r>
          <w:r>
            <w:rPr>
              <w:rFonts w:hint="eastAsia"/>
              <w:lang w:val="en-US" w:eastAsia="zh-CN"/>
            </w:rPr>
            <w:t>交付实施</w:t>
          </w:r>
          <w:r>
            <w:tab/>
          </w:r>
          <w:r>
            <w:fldChar w:fldCharType="begin"/>
          </w:r>
          <w:r>
            <w:instrText xml:space="preserve"> PAGEREF _Toc14934 \h </w:instrText>
          </w:r>
          <w:r>
            <w:fldChar w:fldCharType="separate"/>
          </w:r>
          <w:r>
            <w:t>25</w:t>
          </w:r>
          <w:r>
            <w:fldChar w:fldCharType="end"/>
          </w:r>
          <w:r>
            <w:fldChar w:fldCharType="end"/>
          </w:r>
        </w:p>
        <w:p w14:paraId="4D289EF2">
          <w:pPr>
            <w:pStyle w:val="14"/>
            <w:tabs>
              <w:tab w:val="right" w:leader="dot" w:pos="8306"/>
            </w:tabs>
          </w:pPr>
          <w:r>
            <w:fldChar w:fldCharType="begin"/>
          </w:r>
          <w:r>
            <w:instrText xml:space="preserve"> HYPERLINK \l _Toc29171 </w:instrText>
          </w:r>
          <w:r>
            <w:fldChar w:fldCharType="separate"/>
          </w:r>
          <w:r>
            <w:rPr>
              <w:rFonts w:hint="default"/>
              <w:lang w:val="en-US" w:eastAsia="zh-CN"/>
            </w:rPr>
            <w:t xml:space="preserve">3.5.3. </w:t>
          </w:r>
          <w:r>
            <w:rPr>
              <w:rFonts w:hint="eastAsia"/>
              <w:lang w:val="en-US" w:eastAsia="zh-CN"/>
            </w:rPr>
            <w:t>交付检查</w:t>
          </w:r>
          <w:r>
            <w:tab/>
          </w:r>
          <w:r>
            <w:fldChar w:fldCharType="begin"/>
          </w:r>
          <w:r>
            <w:instrText xml:space="preserve"> PAGEREF _Toc29171 \h </w:instrText>
          </w:r>
          <w:r>
            <w:fldChar w:fldCharType="separate"/>
          </w:r>
          <w:r>
            <w:t>26</w:t>
          </w:r>
          <w:r>
            <w:fldChar w:fldCharType="end"/>
          </w:r>
          <w:r>
            <w:fldChar w:fldCharType="end"/>
          </w:r>
        </w:p>
        <w:p w14:paraId="02FB5CC4">
          <w:pPr>
            <w:pStyle w:val="14"/>
            <w:tabs>
              <w:tab w:val="right" w:leader="dot" w:pos="8306"/>
            </w:tabs>
          </w:pPr>
          <w:r>
            <w:fldChar w:fldCharType="begin"/>
          </w:r>
          <w:r>
            <w:instrText xml:space="preserve"> HYPERLINK \l _Toc27186 </w:instrText>
          </w:r>
          <w:r>
            <w:fldChar w:fldCharType="separate"/>
          </w:r>
          <w:r>
            <w:rPr>
              <w:rFonts w:hint="default"/>
              <w:lang w:val="en-US" w:eastAsia="zh-CN"/>
            </w:rPr>
            <w:t xml:space="preserve">3.5.4. </w:t>
          </w:r>
          <w:r>
            <w:rPr>
              <w:rFonts w:hint="eastAsia"/>
              <w:lang w:val="en-US" w:eastAsia="zh-CN"/>
            </w:rPr>
            <w:t>交付改进</w:t>
          </w:r>
          <w:r>
            <w:tab/>
          </w:r>
          <w:r>
            <w:fldChar w:fldCharType="begin"/>
          </w:r>
          <w:r>
            <w:instrText xml:space="preserve"> PAGEREF _Toc27186 \h </w:instrText>
          </w:r>
          <w:r>
            <w:fldChar w:fldCharType="separate"/>
          </w:r>
          <w:r>
            <w:t>26</w:t>
          </w:r>
          <w:r>
            <w:fldChar w:fldCharType="end"/>
          </w:r>
          <w:r>
            <w:fldChar w:fldCharType="end"/>
          </w:r>
        </w:p>
        <w:p w14:paraId="639FDEFC">
          <w:pPr>
            <w:pStyle w:val="19"/>
            <w:tabs>
              <w:tab w:val="right" w:leader="dot" w:pos="8306"/>
            </w:tabs>
          </w:pPr>
          <w:r>
            <w:fldChar w:fldCharType="begin"/>
          </w:r>
          <w:r>
            <w:instrText xml:space="preserve"> HYPERLINK \l _Toc32479 </w:instrText>
          </w:r>
          <w:r>
            <w:fldChar w:fldCharType="separate"/>
          </w:r>
          <w:r>
            <w:rPr>
              <w:rFonts w:hint="default"/>
              <w:lang w:val="en-US" w:eastAsia="zh-CN"/>
            </w:rPr>
            <w:t xml:space="preserve">3.6. </w:t>
          </w:r>
          <w:r>
            <w:rPr>
              <w:rFonts w:hint="eastAsia"/>
              <w:lang w:val="en-US" w:eastAsia="zh-CN"/>
            </w:rPr>
            <w:t>应急管理规划</w:t>
          </w:r>
          <w:r>
            <w:tab/>
          </w:r>
          <w:r>
            <w:fldChar w:fldCharType="begin"/>
          </w:r>
          <w:r>
            <w:instrText xml:space="preserve"> PAGEREF _Toc32479 \h </w:instrText>
          </w:r>
          <w:r>
            <w:fldChar w:fldCharType="separate"/>
          </w:r>
          <w:r>
            <w:t>26</w:t>
          </w:r>
          <w:r>
            <w:fldChar w:fldCharType="end"/>
          </w:r>
          <w:r>
            <w:fldChar w:fldCharType="end"/>
          </w:r>
        </w:p>
        <w:p w14:paraId="5445F277">
          <w:pPr>
            <w:pStyle w:val="19"/>
            <w:tabs>
              <w:tab w:val="right" w:leader="dot" w:pos="8306"/>
            </w:tabs>
          </w:pPr>
          <w:r>
            <w:fldChar w:fldCharType="begin"/>
          </w:r>
          <w:r>
            <w:instrText xml:space="preserve"> HYPERLINK \l _Toc30855 </w:instrText>
          </w:r>
          <w:r>
            <w:fldChar w:fldCharType="separate"/>
          </w:r>
          <w:r>
            <w:rPr>
              <w:rFonts w:hint="default"/>
              <w:lang w:val="en-US" w:eastAsia="zh-CN"/>
            </w:rPr>
            <w:t xml:space="preserve">3.7. </w:t>
          </w:r>
          <w:r>
            <w:rPr>
              <w:rFonts w:hint="eastAsia"/>
              <w:lang w:val="en-US" w:eastAsia="zh-CN"/>
            </w:rPr>
            <w:t>质量管理规划</w:t>
          </w:r>
          <w:r>
            <w:tab/>
          </w:r>
          <w:r>
            <w:fldChar w:fldCharType="begin"/>
          </w:r>
          <w:r>
            <w:instrText xml:space="preserve"> PAGEREF _Toc30855 \h </w:instrText>
          </w:r>
          <w:r>
            <w:fldChar w:fldCharType="separate"/>
          </w:r>
          <w:r>
            <w:t>27</w:t>
          </w:r>
          <w:r>
            <w:fldChar w:fldCharType="end"/>
          </w:r>
          <w:r>
            <w:fldChar w:fldCharType="end"/>
          </w:r>
        </w:p>
        <w:p w14:paraId="27B97FD9">
          <w:pPr>
            <w:pStyle w:val="14"/>
            <w:tabs>
              <w:tab w:val="right" w:leader="dot" w:pos="8306"/>
            </w:tabs>
          </w:pPr>
          <w:r>
            <w:fldChar w:fldCharType="begin"/>
          </w:r>
          <w:r>
            <w:instrText xml:space="preserve"> HYPERLINK \l _Toc21553 </w:instrText>
          </w:r>
          <w:r>
            <w:fldChar w:fldCharType="separate"/>
          </w:r>
          <w:r>
            <w:rPr>
              <w:rFonts w:hint="default"/>
              <w:lang w:val="en-US" w:eastAsia="zh-CN"/>
            </w:rPr>
            <w:t xml:space="preserve">3.7.1. </w:t>
          </w:r>
          <w:r>
            <w:rPr>
              <w:rFonts w:hint="eastAsia"/>
              <w:lang w:val="en-US" w:eastAsia="zh-CN"/>
            </w:rPr>
            <w:t>质量管理计划</w:t>
          </w:r>
          <w:r>
            <w:tab/>
          </w:r>
          <w:r>
            <w:fldChar w:fldCharType="begin"/>
          </w:r>
          <w:r>
            <w:instrText xml:space="preserve"> PAGEREF _Toc21553 \h </w:instrText>
          </w:r>
          <w:r>
            <w:fldChar w:fldCharType="separate"/>
          </w:r>
          <w:r>
            <w:t>27</w:t>
          </w:r>
          <w:r>
            <w:fldChar w:fldCharType="end"/>
          </w:r>
          <w:r>
            <w:fldChar w:fldCharType="end"/>
          </w:r>
        </w:p>
        <w:p w14:paraId="61F26CE9">
          <w:pPr>
            <w:pStyle w:val="14"/>
            <w:tabs>
              <w:tab w:val="right" w:leader="dot" w:pos="8306"/>
            </w:tabs>
          </w:pPr>
          <w:r>
            <w:fldChar w:fldCharType="begin"/>
          </w:r>
          <w:r>
            <w:instrText xml:space="preserve"> HYPERLINK \l _Toc2919 </w:instrText>
          </w:r>
          <w:r>
            <w:fldChar w:fldCharType="separate"/>
          </w:r>
          <w:r>
            <w:rPr>
              <w:rFonts w:hint="default"/>
              <w:lang w:val="en-US" w:eastAsia="zh-CN"/>
            </w:rPr>
            <w:t xml:space="preserve">3.7.2. </w:t>
          </w:r>
          <w:r>
            <w:rPr>
              <w:rFonts w:hint="eastAsia"/>
              <w:lang w:val="en-US" w:eastAsia="zh-CN"/>
            </w:rPr>
            <w:t>质量检查</w:t>
          </w:r>
          <w:r>
            <w:tab/>
          </w:r>
          <w:r>
            <w:fldChar w:fldCharType="begin"/>
          </w:r>
          <w:r>
            <w:instrText xml:space="preserve"> PAGEREF _Toc2919 \h </w:instrText>
          </w:r>
          <w:r>
            <w:fldChar w:fldCharType="separate"/>
          </w:r>
          <w:r>
            <w:t>27</w:t>
          </w:r>
          <w:r>
            <w:fldChar w:fldCharType="end"/>
          </w:r>
          <w:r>
            <w:fldChar w:fldCharType="end"/>
          </w:r>
        </w:p>
        <w:p w14:paraId="7491879C">
          <w:pPr>
            <w:pStyle w:val="14"/>
            <w:tabs>
              <w:tab w:val="right" w:leader="dot" w:pos="8306"/>
            </w:tabs>
          </w:pPr>
          <w:r>
            <w:fldChar w:fldCharType="begin"/>
          </w:r>
          <w:r>
            <w:instrText xml:space="preserve"> HYPERLINK \l _Toc12202 </w:instrText>
          </w:r>
          <w:r>
            <w:fldChar w:fldCharType="separate"/>
          </w:r>
          <w:r>
            <w:rPr>
              <w:rFonts w:hint="default"/>
              <w:lang w:val="en-US" w:eastAsia="zh-CN"/>
            </w:rPr>
            <w:t xml:space="preserve">3.7.3. </w:t>
          </w:r>
          <w:r>
            <w:rPr>
              <w:rFonts w:hint="eastAsia"/>
              <w:lang w:val="en-US" w:eastAsia="zh-CN"/>
            </w:rPr>
            <w:t>内部审核</w:t>
          </w:r>
          <w:r>
            <w:tab/>
          </w:r>
          <w:r>
            <w:fldChar w:fldCharType="begin"/>
          </w:r>
          <w:r>
            <w:instrText xml:space="preserve"> PAGEREF _Toc12202 \h </w:instrText>
          </w:r>
          <w:r>
            <w:fldChar w:fldCharType="separate"/>
          </w:r>
          <w:r>
            <w:t>28</w:t>
          </w:r>
          <w:r>
            <w:fldChar w:fldCharType="end"/>
          </w:r>
          <w:r>
            <w:fldChar w:fldCharType="end"/>
          </w:r>
        </w:p>
        <w:p w14:paraId="551726AA">
          <w:pPr>
            <w:pStyle w:val="14"/>
            <w:tabs>
              <w:tab w:val="right" w:leader="dot" w:pos="8306"/>
            </w:tabs>
          </w:pPr>
          <w:r>
            <w:fldChar w:fldCharType="begin"/>
          </w:r>
          <w:r>
            <w:instrText xml:space="preserve"> HYPERLINK \l _Toc9310 </w:instrText>
          </w:r>
          <w:r>
            <w:fldChar w:fldCharType="separate"/>
          </w:r>
          <w:r>
            <w:rPr>
              <w:rFonts w:hint="default"/>
              <w:lang w:val="en-US" w:eastAsia="zh-CN"/>
            </w:rPr>
            <w:t xml:space="preserve">3.7.4. </w:t>
          </w:r>
          <w:r>
            <w:rPr>
              <w:rFonts w:hint="eastAsia"/>
              <w:lang w:val="en-US" w:eastAsia="zh-CN"/>
            </w:rPr>
            <w:t>管理评审</w:t>
          </w:r>
          <w:r>
            <w:tab/>
          </w:r>
          <w:r>
            <w:fldChar w:fldCharType="begin"/>
          </w:r>
          <w:r>
            <w:instrText xml:space="preserve"> PAGEREF _Toc9310 \h </w:instrText>
          </w:r>
          <w:r>
            <w:fldChar w:fldCharType="separate"/>
          </w:r>
          <w:r>
            <w:t>28</w:t>
          </w:r>
          <w:r>
            <w:fldChar w:fldCharType="end"/>
          </w:r>
          <w:r>
            <w:fldChar w:fldCharType="end"/>
          </w:r>
        </w:p>
        <w:p w14:paraId="05B9471F">
          <w:pPr>
            <w:pStyle w:val="14"/>
            <w:tabs>
              <w:tab w:val="right" w:leader="dot" w:pos="8306"/>
            </w:tabs>
          </w:pPr>
          <w:r>
            <w:fldChar w:fldCharType="begin"/>
          </w:r>
          <w:r>
            <w:instrText xml:space="preserve"> HYPERLINK \l _Toc9272 </w:instrText>
          </w:r>
          <w:r>
            <w:fldChar w:fldCharType="separate"/>
          </w:r>
          <w:r>
            <w:rPr>
              <w:rFonts w:hint="default"/>
              <w:lang w:val="en-US" w:eastAsia="zh-CN"/>
            </w:rPr>
            <w:t xml:space="preserve">3.7.5. </w:t>
          </w:r>
          <w:r>
            <w:rPr>
              <w:rFonts w:hint="eastAsia"/>
              <w:lang w:val="en-US" w:eastAsia="zh-CN"/>
            </w:rPr>
            <w:t>客户满意度管理</w:t>
          </w:r>
          <w:r>
            <w:tab/>
          </w:r>
          <w:r>
            <w:fldChar w:fldCharType="begin"/>
          </w:r>
          <w:r>
            <w:instrText xml:space="preserve"> PAGEREF _Toc9272 \h </w:instrText>
          </w:r>
          <w:r>
            <w:fldChar w:fldCharType="separate"/>
          </w:r>
          <w:r>
            <w:t>28</w:t>
          </w:r>
          <w:r>
            <w:fldChar w:fldCharType="end"/>
          </w:r>
          <w:r>
            <w:fldChar w:fldCharType="end"/>
          </w:r>
        </w:p>
        <w:p w14:paraId="4FA9E1A7">
          <w:pPr>
            <w:keepNext w:val="0"/>
            <w:keepLines w:val="0"/>
            <w:pageBreakBefore w:val="0"/>
            <w:widowControl w:val="0"/>
            <w:kinsoku w:val="0"/>
            <w:wordWrap/>
            <w:overflowPunct/>
            <w:topLinePunct w:val="0"/>
            <w:autoSpaceDE w:val="0"/>
            <w:autoSpaceDN w:val="0"/>
            <w:bidi w:val="0"/>
            <w:adjustRightInd w:val="0"/>
            <w:snapToGrid w:val="0"/>
            <w:textAlignment w:val="baseline"/>
          </w:pPr>
          <w:r>
            <w:fldChar w:fldCharType="end"/>
          </w:r>
        </w:p>
      </w:sdtContent>
    </w:sdt>
    <w:p w14:paraId="151D0A20">
      <w:pPr>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eastAsia="宋体"/>
          <w:lang w:val="en-US" w:eastAsia="zh-CN"/>
        </w:rPr>
      </w:pPr>
      <w:r>
        <w:rPr>
          <w:rFonts w:hint="eastAsia"/>
          <w:lang w:val="en-US" w:eastAsia="zh-CN"/>
        </w:rPr>
        <w:t>表目录</w:t>
      </w:r>
    </w:p>
    <w:p w14:paraId="494F65ED">
      <w:pPr>
        <w:pStyle w:val="18"/>
        <w:tabs>
          <w:tab w:val="right" w:leader="dot" w:pos="8306"/>
        </w:tabs>
      </w:pPr>
      <w:r>
        <w:fldChar w:fldCharType="begin"/>
      </w:r>
      <w:r>
        <w:instrText xml:space="preserve">TOC \h \c "表"</w:instrText>
      </w:r>
      <w:r>
        <w:fldChar w:fldCharType="separate"/>
      </w:r>
      <w:r>
        <w:fldChar w:fldCharType="begin"/>
      </w:r>
      <w:r>
        <w:instrText xml:space="preserve"> HYPERLINK \l _Toc22983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 </w:t>
      </w:r>
      <w:r>
        <w:rPr>
          <w:rFonts w:hint="eastAsia"/>
          <w:lang w:val="en-US" w:eastAsia="zh-CN"/>
        </w:rPr>
        <w:t xml:space="preserve"> 2026年度人员招聘计划表</w:t>
      </w:r>
      <w:r>
        <w:tab/>
      </w:r>
      <w:r>
        <w:fldChar w:fldCharType="begin"/>
      </w:r>
      <w:r>
        <w:instrText xml:space="preserve"> PAGEREF _Toc22983 \h </w:instrText>
      </w:r>
      <w:r>
        <w:fldChar w:fldCharType="separate"/>
      </w:r>
      <w:r>
        <w:t>7</w:t>
      </w:r>
      <w:r>
        <w:fldChar w:fldCharType="end"/>
      </w:r>
      <w:r>
        <w:fldChar w:fldCharType="end"/>
      </w:r>
    </w:p>
    <w:p w14:paraId="72FA07B4">
      <w:pPr>
        <w:pStyle w:val="18"/>
        <w:tabs>
          <w:tab w:val="right" w:leader="dot" w:pos="8306"/>
        </w:tabs>
      </w:pPr>
      <w:r>
        <w:fldChar w:fldCharType="begin"/>
      </w:r>
      <w:r>
        <w:instrText xml:space="preserve"> HYPERLINK \l _Toc23958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2 </w:t>
      </w:r>
      <w:r>
        <w:rPr>
          <w:rFonts w:hint="eastAsia"/>
          <w:lang w:val="en-US" w:eastAsia="zh-CN"/>
        </w:rPr>
        <w:t xml:space="preserve"> 2026年度人员内部储备计划表</w:t>
      </w:r>
      <w:r>
        <w:tab/>
      </w:r>
      <w:r>
        <w:fldChar w:fldCharType="begin"/>
      </w:r>
      <w:r>
        <w:instrText xml:space="preserve"> PAGEREF _Toc23958 \h </w:instrText>
      </w:r>
      <w:r>
        <w:fldChar w:fldCharType="separate"/>
      </w:r>
      <w:r>
        <w:t>7</w:t>
      </w:r>
      <w:r>
        <w:fldChar w:fldCharType="end"/>
      </w:r>
      <w:r>
        <w:fldChar w:fldCharType="end"/>
      </w:r>
    </w:p>
    <w:p w14:paraId="1CE37312">
      <w:pPr>
        <w:pStyle w:val="18"/>
        <w:tabs>
          <w:tab w:val="right" w:leader="dot" w:pos="8306"/>
        </w:tabs>
      </w:pPr>
      <w:r>
        <w:fldChar w:fldCharType="begin"/>
      </w:r>
      <w:r>
        <w:instrText xml:space="preserve"> HYPERLINK \l _Toc4406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3 </w:t>
      </w:r>
      <w:r>
        <w:rPr>
          <w:rFonts w:hint="eastAsia"/>
          <w:lang w:val="en-US" w:eastAsia="zh-CN"/>
        </w:rPr>
        <w:t xml:space="preserve"> 2026年度人员培训计划表</w:t>
      </w:r>
      <w:r>
        <w:tab/>
      </w:r>
      <w:r>
        <w:fldChar w:fldCharType="begin"/>
      </w:r>
      <w:r>
        <w:instrText xml:space="preserve"> PAGEREF _Toc4406 \h </w:instrText>
      </w:r>
      <w:r>
        <w:fldChar w:fldCharType="separate"/>
      </w:r>
      <w:r>
        <w:t>9</w:t>
      </w:r>
      <w:r>
        <w:fldChar w:fldCharType="end"/>
      </w:r>
      <w:r>
        <w:fldChar w:fldCharType="end"/>
      </w:r>
    </w:p>
    <w:p w14:paraId="3EC342AE">
      <w:pPr>
        <w:pStyle w:val="18"/>
        <w:tabs>
          <w:tab w:val="right" w:leader="dot" w:pos="8306"/>
        </w:tabs>
      </w:pPr>
      <w:r>
        <w:fldChar w:fldCharType="begin"/>
      </w:r>
      <w:r>
        <w:instrText xml:space="preserve"> HYPERLINK \l _Toc28815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4 </w:t>
      </w:r>
      <w:r>
        <w:rPr>
          <w:rFonts w:hint="eastAsia"/>
          <w:lang w:val="en-US" w:eastAsia="zh-CN"/>
        </w:rPr>
        <w:t xml:space="preserve"> 2026年度人员培训预算汇总表</w:t>
      </w:r>
      <w:r>
        <w:tab/>
      </w:r>
      <w:r>
        <w:fldChar w:fldCharType="begin"/>
      </w:r>
      <w:r>
        <w:instrText xml:space="preserve"> PAGEREF _Toc28815 \h </w:instrText>
      </w:r>
      <w:r>
        <w:fldChar w:fldCharType="separate"/>
      </w:r>
      <w:r>
        <w:t>11</w:t>
      </w:r>
      <w:r>
        <w:fldChar w:fldCharType="end"/>
      </w:r>
      <w:r>
        <w:fldChar w:fldCharType="end"/>
      </w:r>
    </w:p>
    <w:p w14:paraId="0B933D5A">
      <w:pPr>
        <w:pStyle w:val="18"/>
        <w:tabs>
          <w:tab w:val="right" w:leader="dot" w:pos="8306"/>
        </w:tabs>
      </w:pPr>
      <w:r>
        <w:fldChar w:fldCharType="begin"/>
      </w:r>
      <w:r>
        <w:instrText xml:space="preserve"> HYPERLINK \l _Toc21934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5 </w:t>
      </w:r>
      <w:r>
        <w:rPr>
          <w:rFonts w:hint="eastAsia"/>
          <w:lang w:val="en-US" w:eastAsia="zh-CN"/>
        </w:rPr>
        <w:t xml:space="preserve"> 2026年度人员关键岗位备份计划表</w:t>
      </w:r>
      <w:r>
        <w:tab/>
      </w:r>
      <w:r>
        <w:fldChar w:fldCharType="begin"/>
      </w:r>
      <w:r>
        <w:instrText xml:space="preserve"> PAGEREF _Toc21934 \h </w:instrText>
      </w:r>
      <w:r>
        <w:fldChar w:fldCharType="separate"/>
      </w:r>
      <w:r>
        <w:t>11</w:t>
      </w:r>
      <w:r>
        <w:fldChar w:fldCharType="end"/>
      </w:r>
      <w:r>
        <w:fldChar w:fldCharType="end"/>
      </w:r>
    </w:p>
    <w:p w14:paraId="77DC41AB">
      <w:pPr>
        <w:pStyle w:val="18"/>
        <w:tabs>
          <w:tab w:val="right" w:leader="dot" w:pos="8306"/>
        </w:tabs>
      </w:pPr>
      <w:r>
        <w:fldChar w:fldCharType="begin"/>
      </w:r>
      <w:r>
        <w:instrText xml:space="preserve"> HYPERLINK \l _Toc251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6 </w:t>
      </w:r>
      <w:r>
        <w:rPr>
          <w:rFonts w:hint="eastAsia"/>
          <w:lang w:val="en-US" w:eastAsia="zh-CN"/>
        </w:rPr>
        <w:t xml:space="preserve"> 2026年度人员绩效考核计划表</w:t>
      </w:r>
      <w:r>
        <w:tab/>
      </w:r>
      <w:r>
        <w:fldChar w:fldCharType="begin"/>
      </w:r>
      <w:r>
        <w:instrText xml:space="preserve"> PAGEREF _Toc251 \h </w:instrText>
      </w:r>
      <w:r>
        <w:fldChar w:fldCharType="separate"/>
      </w:r>
      <w:r>
        <w:t>12</w:t>
      </w:r>
      <w:r>
        <w:fldChar w:fldCharType="end"/>
      </w:r>
      <w:r>
        <w:fldChar w:fldCharType="end"/>
      </w:r>
    </w:p>
    <w:p w14:paraId="3759C3B2">
      <w:pPr>
        <w:pStyle w:val="18"/>
        <w:tabs>
          <w:tab w:val="right" w:leader="dot" w:pos="8306"/>
        </w:tabs>
      </w:pPr>
      <w:r>
        <w:fldChar w:fldCharType="begin"/>
      </w:r>
      <w:r>
        <w:instrText xml:space="preserve"> HYPERLINK \l _Toc7258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7 </w:t>
      </w:r>
      <w:r>
        <w:rPr>
          <w:rFonts w:hint="eastAsia"/>
          <w:lang w:val="en-US" w:eastAsia="zh-CN"/>
        </w:rPr>
        <w:t xml:space="preserve"> 2026年度人员能力评定周期表</w:t>
      </w:r>
      <w:r>
        <w:tab/>
      </w:r>
      <w:r>
        <w:fldChar w:fldCharType="begin"/>
      </w:r>
      <w:r>
        <w:instrText xml:space="preserve"> PAGEREF _Toc7258 \h </w:instrText>
      </w:r>
      <w:r>
        <w:fldChar w:fldCharType="separate"/>
      </w:r>
      <w:r>
        <w:t>12</w:t>
      </w:r>
      <w:r>
        <w:fldChar w:fldCharType="end"/>
      </w:r>
      <w:r>
        <w:fldChar w:fldCharType="end"/>
      </w:r>
    </w:p>
    <w:p w14:paraId="28E09B0D">
      <w:pPr>
        <w:pStyle w:val="18"/>
        <w:tabs>
          <w:tab w:val="right" w:leader="dot" w:pos="8306"/>
        </w:tabs>
      </w:pPr>
      <w:r>
        <w:fldChar w:fldCharType="begin"/>
      </w:r>
      <w:r>
        <w:instrText xml:space="preserve"> HYPERLINK \l _Toc22530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8 </w:t>
      </w:r>
      <w:r>
        <w:rPr>
          <w:rFonts w:hint="eastAsia"/>
          <w:lang w:val="en-US" w:eastAsia="zh-CN"/>
        </w:rPr>
        <w:t xml:space="preserve"> 2026年度人员技能等级划分表</w:t>
      </w:r>
      <w:r>
        <w:tab/>
      </w:r>
      <w:r>
        <w:fldChar w:fldCharType="begin"/>
      </w:r>
      <w:r>
        <w:instrText xml:space="preserve"> PAGEREF _Toc22530 \h </w:instrText>
      </w:r>
      <w:r>
        <w:fldChar w:fldCharType="separate"/>
      </w:r>
      <w:r>
        <w:t>12</w:t>
      </w:r>
      <w:r>
        <w:fldChar w:fldCharType="end"/>
      </w:r>
      <w:r>
        <w:fldChar w:fldCharType="end"/>
      </w:r>
    </w:p>
    <w:p w14:paraId="6488E3A8">
      <w:pPr>
        <w:pStyle w:val="18"/>
        <w:tabs>
          <w:tab w:val="right" w:leader="dot" w:pos="8306"/>
        </w:tabs>
      </w:pPr>
      <w:r>
        <w:fldChar w:fldCharType="begin"/>
      </w:r>
      <w:r>
        <w:instrText xml:space="preserve"> HYPERLINK \l _Toc30538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9 </w:t>
      </w:r>
      <w:r>
        <w:rPr>
          <w:rFonts w:hint="eastAsia"/>
          <w:lang w:val="en-US" w:eastAsia="zh-CN"/>
        </w:rPr>
        <w:t xml:space="preserve"> 2026年度人员技能评定内容表</w:t>
      </w:r>
      <w:r>
        <w:tab/>
      </w:r>
      <w:r>
        <w:fldChar w:fldCharType="begin"/>
      </w:r>
      <w:r>
        <w:instrText xml:space="preserve"> PAGEREF _Toc30538 \h </w:instrText>
      </w:r>
      <w:r>
        <w:fldChar w:fldCharType="separate"/>
      </w:r>
      <w:r>
        <w:t>13</w:t>
      </w:r>
      <w:r>
        <w:fldChar w:fldCharType="end"/>
      </w:r>
      <w:r>
        <w:fldChar w:fldCharType="end"/>
      </w:r>
    </w:p>
    <w:p w14:paraId="78B72CAC">
      <w:pPr>
        <w:pStyle w:val="18"/>
        <w:tabs>
          <w:tab w:val="right" w:leader="dot" w:pos="8306"/>
        </w:tabs>
      </w:pPr>
      <w:r>
        <w:fldChar w:fldCharType="begin"/>
      </w:r>
      <w:r>
        <w:instrText xml:space="preserve"> HYPERLINK \l _Toc5321 </w:instrText>
      </w:r>
      <w:r>
        <w:fldChar w:fldCharType="separate"/>
      </w:r>
      <w:r>
        <w:rPr>
          <w:rFonts w:hint="eastAsia"/>
          <w:lang w:val="en-US" w:eastAsia="zh-CN"/>
        </w:rPr>
        <w:t xml:space="preserve">表 </w:t>
      </w:r>
      <w:r>
        <w:rPr>
          <w:rFonts w:hint="default"/>
          <w:lang w:val="en-US" w:eastAsia="zh-CN"/>
        </w:rPr>
        <w:t>3</w:t>
      </w:r>
      <w:r>
        <w:rPr>
          <w:rFonts w:hint="eastAsia"/>
          <w:lang w:val="en-US" w:eastAsia="zh-CN"/>
        </w:rPr>
        <w:t>-</w:t>
      </w:r>
      <w:r>
        <w:t xml:space="preserve">10 </w:t>
      </w:r>
      <w:r>
        <w:rPr>
          <w:rFonts w:hint="eastAsia"/>
          <w:lang w:val="en-US" w:eastAsia="zh-CN"/>
        </w:rPr>
        <w:t xml:space="preserve"> 2026年度人员技能评定结果应用表</w:t>
      </w:r>
      <w:r>
        <w:tab/>
      </w:r>
      <w:r>
        <w:fldChar w:fldCharType="begin"/>
      </w:r>
      <w:r>
        <w:instrText xml:space="preserve"> PAGEREF _Toc5321 \h </w:instrText>
      </w:r>
      <w:r>
        <w:fldChar w:fldCharType="separate"/>
      </w:r>
      <w:r>
        <w:t>13</w:t>
      </w:r>
      <w:r>
        <w:fldChar w:fldCharType="end"/>
      </w:r>
      <w:r>
        <w:fldChar w:fldCharType="end"/>
      </w:r>
    </w:p>
    <w:p w14:paraId="26D72087">
      <w:pPr>
        <w:keepNext w:val="0"/>
        <w:keepLines w:val="0"/>
        <w:pageBreakBefore w:val="0"/>
        <w:widowControl w:val="0"/>
        <w:kinsoku w:val="0"/>
        <w:wordWrap/>
        <w:overflowPunct/>
        <w:topLinePunct w:val="0"/>
        <w:autoSpaceDE w:val="0"/>
        <w:autoSpaceDN w:val="0"/>
        <w:bidi w:val="0"/>
        <w:adjustRightInd w:val="0"/>
        <w:snapToGrid w:val="0"/>
        <w:jc w:val="center"/>
        <w:textAlignment w:val="baseline"/>
      </w:pPr>
      <w:r>
        <w:fldChar w:fldCharType="end"/>
      </w:r>
    </w:p>
    <w:p w14:paraId="2E19D90C">
      <w:pPr>
        <w:keepNext w:val="0"/>
        <w:keepLines w:val="0"/>
        <w:pageBreakBefore w:val="0"/>
        <w:widowControl w:val="0"/>
        <w:kinsoku w:val="0"/>
        <w:wordWrap/>
        <w:overflowPunct/>
        <w:topLinePunct w:val="0"/>
        <w:autoSpaceDE w:val="0"/>
        <w:autoSpaceDN w:val="0"/>
        <w:bidi w:val="0"/>
        <w:adjustRightInd w:val="0"/>
        <w:snapToGrid w:val="0"/>
        <w:textAlignment w:val="baseline"/>
      </w:pPr>
    </w:p>
    <w:p w14:paraId="08F49EC6">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 w:name="_Toc20422"/>
      <w:r>
        <w:rPr>
          <w:rFonts w:hint="default"/>
          <w:lang w:val="en-US" w:eastAsia="zh-CN"/>
        </w:rPr>
        <w:t>公司现状分析</w:t>
      </w:r>
      <w:bookmarkEnd w:id="1"/>
    </w:p>
    <w:p w14:paraId="277A1CE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数飞科技(宁波)有限公司是一家充满活力与创新精神的科技企业，致力于为政府和企业的数字化转型提供全方位的解决方案与支持，成为企业可信赖的合作伙伴。</w:t>
      </w:r>
    </w:p>
    <w:p w14:paraId="17B9EDA4">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 w:name="_Toc24691"/>
      <w:r>
        <w:rPr>
          <w:rFonts w:hint="default"/>
          <w:lang w:val="en-US" w:eastAsia="zh-CN"/>
        </w:rPr>
        <w:t>优势分析</w:t>
      </w:r>
      <w:bookmarkEnd w:id="2"/>
    </w:p>
    <w:p w14:paraId="19D2D6E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公司已建立较为完善的组织架构，明确了运维部、研发部、质量部、人力部等部门的职责分工</w:t>
      </w:r>
    </w:p>
    <w:p w14:paraId="450C93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已完成《运维服务能力管理制度》《运维服务能力改进管理制度》等核心制度的制定</w:t>
      </w:r>
    </w:p>
    <w:p w14:paraId="09C71A4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已配备iTop运维管理平台和运维监控平台等工具</w:t>
      </w:r>
    </w:p>
    <w:p w14:paraId="5CB113E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已建立服务台、备件库、服务知识等资源管理机制</w:t>
      </w:r>
    </w:p>
    <w:p w14:paraId="467167B2">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 w:name="_Toc26417"/>
      <w:r>
        <w:rPr>
          <w:rFonts w:hint="default"/>
          <w:lang w:val="en-US" w:eastAsia="zh-CN"/>
        </w:rPr>
        <w:t>待改进方面</w:t>
      </w:r>
      <w:bookmarkEnd w:id="3"/>
    </w:p>
    <w:p w14:paraId="6B53D05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人员岗位配置需进一步充实</w:t>
      </w:r>
    </w:p>
    <w:p w14:paraId="5759F1F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管理需持续优化（已明确由运维部负责）</w:t>
      </w:r>
    </w:p>
    <w:p w14:paraId="378FE25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运维工具的自评估机制需完善</w:t>
      </w:r>
    </w:p>
    <w:p w14:paraId="3DC7B1A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过程管理的量化指标需持续跟踪</w:t>
      </w:r>
    </w:p>
    <w:p w14:paraId="0047EA59">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4" w:name="_Toc28569"/>
      <w:r>
        <w:rPr>
          <w:rFonts w:hint="default"/>
          <w:lang w:val="en-US" w:eastAsia="zh-CN"/>
        </w:rPr>
        <w:t>运维业务分析</w:t>
      </w:r>
      <w:bookmarkEnd w:id="4"/>
    </w:p>
    <w:p w14:paraId="6584D90C">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5" w:name="_Toc27566"/>
      <w:r>
        <w:rPr>
          <w:rFonts w:hint="default"/>
          <w:lang w:val="en-US" w:eastAsia="zh-CN"/>
        </w:rPr>
        <w:t>开展运维服务的优势</w:t>
      </w:r>
      <w:bookmarkEnd w:id="5"/>
    </w:p>
    <w:p w14:paraId="49F5E88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组织架构完善：公司已建立与ITSS标准匹配的组织架构，设立运维部、研发部、质量部、人力部、采购部、应急管理部等职能部门</w:t>
      </w:r>
    </w:p>
    <w:p w14:paraId="1DE013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制度体系健全：已完成人员管理、资源管理、过程管理、质量管理等核心制度共</w:t>
      </w:r>
      <w:r>
        <w:rPr>
          <w:rFonts w:hint="eastAsia"/>
          <w:lang w:val="en-US" w:eastAsia="zh-CN"/>
        </w:rPr>
        <w:t>90</w:t>
      </w:r>
      <w:r>
        <w:rPr>
          <w:rFonts w:hint="default"/>
          <w:lang w:val="en-US" w:eastAsia="zh-CN"/>
        </w:rPr>
        <w:t>余份文件的编制</w:t>
      </w:r>
    </w:p>
    <w:p w14:paraId="4FDFC09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工具支撑有力：已部署iTop运维管理平台和运维监控平台，实现运维流程的数字化管理</w:t>
      </w:r>
    </w:p>
    <w:p w14:paraId="196804F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项目经验积累：已承接多个运维项目，积累了丰富的硬件巡检、故障处理、应急响应等实战经验</w:t>
      </w:r>
    </w:p>
    <w:p w14:paraId="2972605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6" w:name="_Toc13815"/>
      <w:r>
        <w:rPr>
          <w:rFonts w:hint="default"/>
          <w:lang w:val="en-US" w:eastAsia="zh-CN"/>
        </w:rPr>
        <w:t>开展运维服务的</w:t>
      </w:r>
      <w:r>
        <w:rPr>
          <w:rFonts w:hint="eastAsia"/>
          <w:lang w:val="en-US" w:eastAsia="zh-CN"/>
        </w:rPr>
        <w:t>重点工作</w:t>
      </w:r>
      <w:bookmarkEnd w:id="6"/>
    </w:p>
    <w:p w14:paraId="49747CFD">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7" w:name="_Toc24623"/>
      <w:r>
        <w:rPr>
          <w:rFonts w:hint="default"/>
          <w:lang w:val="en-US" w:eastAsia="zh-CN"/>
        </w:rPr>
        <w:t>人员管理方面</w:t>
      </w:r>
      <w:bookmarkEnd w:id="7"/>
    </w:p>
    <w:p w14:paraId="61CBDC3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技术岗和操作岗人员需要补充。</w:t>
      </w:r>
    </w:p>
    <w:p w14:paraId="6B39448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关键岗位备份机制已建立，需持续验证备份人员的实际能力</w:t>
      </w:r>
      <w:r>
        <w:rPr>
          <w:rFonts w:hint="eastAsia"/>
          <w:lang w:val="en-US" w:eastAsia="zh-CN"/>
        </w:rPr>
        <w:t>。</w:t>
      </w:r>
    </w:p>
    <w:p w14:paraId="297274B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绩效考核体系需持续优化，确保考核结果与薪酬、晋升有效挂钩</w:t>
      </w:r>
      <w:r>
        <w:rPr>
          <w:rFonts w:hint="eastAsia"/>
          <w:lang w:val="en-US" w:eastAsia="zh-CN"/>
        </w:rPr>
        <w:t>。</w:t>
      </w:r>
    </w:p>
    <w:p w14:paraId="3436EC83">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8" w:name="_Toc14397"/>
      <w:r>
        <w:rPr>
          <w:rFonts w:hint="default"/>
          <w:lang w:val="en-US" w:eastAsia="zh-CN"/>
        </w:rPr>
        <w:t>资源管理方面</w:t>
      </w:r>
      <w:bookmarkEnd w:id="8"/>
    </w:p>
    <w:p w14:paraId="23010C6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运维工具的自评估机制需完善，定期开展使用效果评估</w:t>
      </w:r>
    </w:p>
    <w:p w14:paraId="53D22F5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eastAsia"/>
          <w:lang w:val="en-US" w:eastAsia="zh-CN"/>
        </w:rPr>
        <w:t>服务知识</w:t>
      </w:r>
      <w:r>
        <w:rPr>
          <w:rFonts w:hint="default"/>
          <w:lang w:val="en-US" w:eastAsia="zh-CN"/>
        </w:rPr>
        <w:t>管理需持续优化，提高知识使用率和采纳率</w:t>
      </w:r>
    </w:p>
    <w:p w14:paraId="6CB33A3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备件库管理需持续规范，确保备件可用率达标</w:t>
      </w:r>
    </w:p>
    <w:p w14:paraId="6240D1A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9" w:name="_Toc5669"/>
      <w:r>
        <w:rPr>
          <w:rFonts w:hint="default"/>
          <w:lang w:val="en-US" w:eastAsia="zh-CN"/>
        </w:rPr>
        <w:t>技术管理方面</w:t>
      </w:r>
      <w:bookmarkEnd w:id="9"/>
    </w:p>
    <w:p w14:paraId="302C698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技术研发团队需充实，2026年计划招聘研发工程师</w:t>
      </w:r>
      <w:r>
        <w:rPr>
          <w:rFonts w:hint="eastAsia"/>
          <w:lang w:val="en-US" w:eastAsia="zh-CN"/>
        </w:rPr>
        <w:t>1人</w:t>
      </w:r>
    </w:p>
    <w:p w14:paraId="05340E4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运维手册需持续完善，计划编写MySQL数据库运维手册等3本手册</w:t>
      </w:r>
    </w:p>
    <w:p w14:paraId="22C66D7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0" w:name="_Toc19367"/>
      <w:r>
        <w:rPr>
          <w:rFonts w:hint="default"/>
          <w:lang w:val="en-US" w:eastAsia="zh-CN"/>
        </w:rPr>
        <w:t>过程管理方面</w:t>
      </w:r>
      <w:bookmarkEnd w:id="10"/>
    </w:p>
    <w:p w14:paraId="208C60A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服务级别协议（SLA）达成情况需持续监控</w:t>
      </w:r>
    </w:p>
    <w:p w14:paraId="72DE28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事件、问题、变更、配置等过程的数据统计分析需加强</w:t>
      </w:r>
    </w:p>
    <w:p w14:paraId="1F4E671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服务报告的及时性和准确性需持续提升</w:t>
      </w:r>
    </w:p>
    <w:p w14:paraId="142052F8">
      <w:pPr>
        <w:pStyle w:val="31"/>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1" w:name="_Toc31007"/>
      <w:r>
        <w:rPr>
          <w:rFonts w:hint="default"/>
          <w:lang w:val="en-US" w:eastAsia="zh-CN"/>
        </w:rPr>
        <w:t>年度运维服务能力计划</w:t>
      </w:r>
      <w:bookmarkEnd w:id="11"/>
    </w:p>
    <w:p w14:paraId="29D31B3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为实现公司运维服务的标准化、规范化，2026年公司将按照ITSS能力成熟度模型三级的要求，从人员、资源、技术、过程、</w:t>
      </w:r>
      <w:r>
        <w:rPr>
          <w:rFonts w:hint="eastAsia"/>
          <w:lang w:val="en-US" w:eastAsia="zh-CN"/>
        </w:rPr>
        <w:t>交付、应急和</w:t>
      </w:r>
      <w:r>
        <w:rPr>
          <w:rFonts w:hint="default"/>
          <w:lang w:val="en-US" w:eastAsia="zh-CN"/>
        </w:rPr>
        <w:t>质量等方面进行全面规划，持续提升运维服务能力。</w:t>
      </w:r>
    </w:p>
    <w:p w14:paraId="08902C68">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12" w:name="_Toc5035"/>
      <w:r>
        <w:rPr>
          <w:rFonts w:hint="default"/>
          <w:lang w:val="en-US" w:eastAsia="zh-CN"/>
        </w:rPr>
        <w:t>人员管理规划</w:t>
      </w:r>
      <w:bookmarkEnd w:id="12"/>
    </w:p>
    <w:p w14:paraId="6CDCB1E9">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3" w:name="_Toc29786"/>
      <w:r>
        <w:rPr>
          <w:rFonts w:hint="eastAsia"/>
          <w:lang w:val="en-US" w:eastAsia="zh-CN"/>
        </w:rPr>
        <w:t>人员招聘计划</w:t>
      </w:r>
      <w:bookmarkEnd w:id="13"/>
    </w:p>
    <w:p w14:paraId="6426C22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保障公司2026年度运维服务业务的正常开展，满足各部门人员配置需求，确保关键岗位及时补充，根据公司战略发展目标和年度人员编制计划，制定本招聘计划。招聘工作遵循“按需招聘、择优录用、人岗匹配”的原则。</w:t>
      </w:r>
    </w:p>
    <w:p w14:paraId="19ED90F6">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w:t>
      </w:r>
      <w:r>
        <w:rPr>
          <w:rFonts w:hint="eastAsia"/>
          <w:lang w:val="en-US" w:eastAsia="zh-CN"/>
        </w:rPr>
        <w:fldChar w:fldCharType="end"/>
      </w:r>
      <w:bookmarkStart w:id="14" w:name="_Toc22983"/>
      <w:r>
        <w:rPr>
          <w:rFonts w:hint="eastAsia"/>
          <w:lang w:val="en-US" w:eastAsia="zh-CN"/>
        </w:rPr>
        <w:t xml:space="preserve"> 2026年度人员招聘计划表</w:t>
      </w:r>
      <w:bookmarkEnd w:id="14"/>
    </w:p>
    <w:tbl>
      <w:tblPr>
        <w:tblStyle w:val="23"/>
        <w:tblW w:w="82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615"/>
        <w:gridCol w:w="1049"/>
        <w:gridCol w:w="1484"/>
        <w:gridCol w:w="1707"/>
        <w:gridCol w:w="1181"/>
        <w:gridCol w:w="561"/>
        <w:gridCol w:w="561"/>
        <w:gridCol w:w="561"/>
        <w:gridCol w:w="561"/>
      </w:tblGrid>
      <w:tr w14:paraId="274DD6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tblHeader/>
          <w:jc w:val="center"/>
        </w:trPr>
        <w:tc>
          <w:tcPr>
            <w:tcW w:w="629" w:type="dxa"/>
            <w:tcBorders>
              <w:top w:val="single" w:color="auto" w:sz="12" w:space="0"/>
              <w:left w:val="single" w:color="auto" w:sz="12" w:space="0"/>
              <w:bottom w:val="nil"/>
              <w:right w:val="nil"/>
            </w:tcBorders>
            <w:tcMar>
              <w:top w:w="60" w:type="dxa"/>
              <w:left w:w="120" w:type="dxa"/>
              <w:bottom w:w="30" w:type="dxa"/>
              <w:right w:w="120" w:type="dxa"/>
            </w:tcMar>
            <w:vAlign w:val="center"/>
          </w:tcPr>
          <w:p w14:paraId="0854AD6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序号</w:t>
            </w:r>
          </w:p>
        </w:tc>
        <w:tc>
          <w:tcPr>
            <w:tcW w:w="110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524E788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部门</w:t>
            </w:r>
          </w:p>
        </w:tc>
        <w:tc>
          <w:tcPr>
            <w:tcW w:w="1588"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7E893D8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岗位名称</w:t>
            </w:r>
          </w:p>
        </w:tc>
        <w:tc>
          <w:tcPr>
            <w:tcW w:w="1834"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2CF21C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计划招聘总人数</w:t>
            </w:r>
          </w:p>
        </w:tc>
        <w:tc>
          <w:tcPr>
            <w:tcW w:w="1253"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3B1DD99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招聘方式</w:t>
            </w:r>
          </w:p>
        </w:tc>
        <w:tc>
          <w:tcPr>
            <w:tcW w:w="46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8D08D8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Q1</w:t>
            </w:r>
          </w:p>
        </w:tc>
        <w:tc>
          <w:tcPr>
            <w:tcW w:w="46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2290B4F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Q2</w:t>
            </w:r>
          </w:p>
        </w:tc>
        <w:tc>
          <w:tcPr>
            <w:tcW w:w="467" w:type="dxa"/>
            <w:tcBorders>
              <w:top w:val="single" w:color="auto" w:sz="12" w:space="0"/>
              <w:left w:val="single" w:color="auto" w:sz="4" w:space="0"/>
              <w:bottom w:val="nil"/>
              <w:right w:val="nil"/>
            </w:tcBorders>
            <w:tcMar>
              <w:top w:w="60" w:type="dxa"/>
              <w:left w:w="120" w:type="dxa"/>
              <w:bottom w:w="30" w:type="dxa"/>
              <w:right w:w="120" w:type="dxa"/>
            </w:tcMar>
            <w:vAlign w:val="center"/>
          </w:tcPr>
          <w:p w14:paraId="12657BA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Q3</w:t>
            </w:r>
          </w:p>
        </w:tc>
        <w:tc>
          <w:tcPr>
            <w:tcW w:w="467" w:type="dxa"/>
            <w:tcBorders>
              <w:top w:val="single" w:color="auto" w:sz="12" w:space="0"/>
              <w:left w:val="single" w:color="auto" w:sz="4" w:space="0"/>
              <w:bottom w:val="nil"/>
              <w:right w:val="single" w:color="auto" w:sz="12" w:space="0"/>
            </w:tcBorders>
            <w:tcMar>
              <w:top w:w="60" w:type="dxa"/>
              <w:left w:w="120" w:type="dxa"/>
              <w:bottom w:w="30" w:type="dxa"/>
              <w:right w:w="120" w:type="dxa"/>
            </w:tcMar>
            <w:vAlign w:val="center"/>
          </w:tcPr>
          <w:p w14:paraId="5577A8B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Q4</w:t>
            </w:r>
          </w:p>
        </w:tc>
      </w:tr>
      <w:tr w14:paraId="54558C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65C77B7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21456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9679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运维项目经理</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5EB3B3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BBF502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招聘网站/内部储备</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5DABE2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82B6F6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7DBBFD">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B802FD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r>
      <w:tr w14:paraId="1A11B9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494D984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2</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EC754E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F2A6DD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硬件运维工程师</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4B60AD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83BC9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2A2754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1</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396868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813AA7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5AAB36B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314F31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724CE40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3</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54E90E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运维部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E52505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服务台专员</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530682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928BBD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CFE0F5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8EDB16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331A82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9803A2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75A022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38A06E2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4</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FD0163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0FA8FE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研发工程师</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16BBCA1">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508B0900">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85BB55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12ACE91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4DC744E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43F078BB">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7C32A9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nil"/>
              <w:right w:val="nil"/>
            </w:tcBorders>
            <w:tcMar>
              <w:top w:w="60" w:type="dxa"/>
              <w:left w:w="120" w:type="dxa"/>
              <w:bottom w:w="30" w:type="dxa"/>
              <w:right w:w="120" w:type="dxa"/>
            </w:tcMar>
            <w:vAlign w:val="center"/>
          </w:tcPr>
          <w:p w14:paraId="0DCF7A5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5</w:t>
            </w:r>
          </w:p>
        </w:tc>
        <w:tc>
          <w:tcPr>
            <w:tcW w:w="110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376B1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w:t>
            </w:r>
          </w:p>
        </w:tc>
        <w:tc>
          <w:tcPr>
            <w:tcW w:w="1588" w:type="dxa"/>
            <w:tcBorders>
              <w:top w:val="single" w:color="auto" w:sz="4" w:space="0"/>
              <w:left w:val="single" w:color="auto" w:sz="4" w:space="0"/>
              <w:bottom w:val="nil"/>
              <w:right w:val="nil"/>
            </w:tcBorders>
            <w:tcMar>
              <w:top w:w="60" w:type="dxa"/>
              <w:left w:w="120" w:type="dxa"/>
              <w:bottom w:w="30" w:type="dxa"/>
              <w:right w:w="120" w:type="dxa"/>
            </w:tcMar>
            <w:vAlign w:val="center"/>
          </w:tcPr>
          <w:p w14:paraId="282BCE1A">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质量部专员</w:t>
            </w:r>
          </w:p>
        </w:tc>
        <w:tc>
          <w:tcPr>
            <w:tcW w:w="1834" w:type="dxa"/>
            <w:tcBorders>
              <w:top w:val="single" w:color="auto" w:sz="4" w:space="0"/>
              <w:left w:val="single" w:color="auto" w:sz="4" w:space="0"/>
              <w:bottom w:val="nil"/>
              <w:right w:val="nil"/>
            </w:tcBorders>
            <w:tcMar>
              <w:top w:w="60" w:type="dxa"/>
              <w:left w:w="120" w:type="dxa"/>
              <w:bottom w:w="30" w:type="dxa"/>
              <w:right w:w="120" w:type="dxa"/>
            </w:tcMar>
            <w:vAlign w:val="center"/>
          </w:tcPr>
          <w:p w14:paraId="33EA5209">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1253" w:type="dxa"/>
            <w:tcBorders>
              <w:top w:val="single" w:color="auto" w:sz="4" w:space="0"/>
              <w:left w:val="single" w:color="auto" w:sz="4" w:space="0"/>
              <w:bottom w:val="nil"/>
              <w:right w:val="nil"/>
            </w:tcBorders>
            <w:tcMar>
              <w:top w:w="60" w:type="dxa"/>
              <w:left w:w="120" w:type="dxa"/>
              <w:bottom w:w="30" w:type="dxa"/>
              <w:right w:w="120" w:type="dxa"/>
            </w:tcMar>
            <w:vAlign w:val="center"/>
          </w:tcPr>
          <w:p w14:paraId="0C52F143">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招聘网站</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6581F23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0DE3098">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c>
          <w:tcPr>
            <w:tcW w:w="467" w:type="dxa"/>
            <w:tcBorders>
              <w:top w:val="single" w:color="auto" w:sz="4" w:space="0"/>
              <w:left w:val="single" w:color="auto" w:sz="4" w:space="0"/>
              <w:bottom w:val="nil"/>
              <w:right w:val="nil"/>
            </w:tcBorders>
            <w:tcMar>
              <w:top w:w="60" w:type="dxa"/>
              <w:left w:w="120" w:type="dxa"/>
              <w:bottom w:w="30" w:type="dxa"/>
              <w:right w:w="120" w:type="dxa"/>
            </w:tcMar>
            <w:vAlign w:val="center"/>
          </w:tcPr>
          <w:p w14:paraId="7CB1C554">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1</w:t>
            </w:r>
          </w:p>
        </w:tc>
        <w:tc>
          <w:tcPr>
            <w:tcW w:w="467" w:type="dxa"/>
            <w:tcBorders>
              <w:top w:val="single" w:color="auto" w:sz="4" w:space="0"/>
              <w:left w:val="single" w:color="auto" w:sz="4" w:space="0"/>
              <w:bottom w:val="nil"/>
              <w:right w:val="single" w:color="auto" w:sz="12" w:space="0"/>
            </w:tcBorders>
            <w:tcMar>
              <w:top w:w="60" w:type="dxa"/>
              <w:left w:w="120" w:type="dxa"/>
              <w:bottom w:w="30" w:type="dxa"/>
              <w:right w:w="120" w:type="dxa"/>
            </w:tcMar>
            <w:vAlign w:val="center"/>
          </w:tcPr>
          <w:p w14:paraId="7649B6F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pPr>
            <w:r>
              <w:t>0</w:t>
            </w:r>
          </w:p>
        </w:tc>
      </w:tr>
      <w:tr w14:paraId="1D09D6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 w:type="dxa"/>
            <w:bottom w:w="0" w:type="dxa"/>
            <w:right w:w="10" w:type="dxa"/>
          </w:tblCellMar>
        </w:tblPrEx>
        <w:trPr>
          <w:trHeight w:val="0" w:hRule="atLeast"/>
          <w:jc w:val="center"/>
        </w:trPr>
        <w:tc>
          <w:tcPr>
            <w:tcW w:w="629" w:type="dxa"/>
            <w:tcBorders>
              <w:top w:val="single" w:color="auto" w:sz="4" w:space="0"/>
              <w:left w:val="single" w:color="auto" w:sz="12" w:space="0"/>
              <w:bottom w:val="single" w:color="auto" w:sz="12" w:space="0"/>
              <w:right w:val="nil"/>
            </w:tcBorders>
            <w:tcMar>
              <w:top w:w="60" w:type="dxa"/>
              <w:left w:w="120" w:type="dxa"/>
              <w:bottom w:w="30" w:type="dxa"/>
              <w:right w:w="120" w:type="dxa"/>
            </w:tcMar>
            <w:vAlign w:val="center"/>
          </w:tcPr>
          <w:p w14:paraId="40F9638F">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合计</w:t>
            </w:r>
          </w:p>
        </w:tc>
        <w:tc>
          <w:tcPr>
            <w:tcW w:w="110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52B7F8E3">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588"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2A849BED">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1834"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032F036">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6</w:t>
            </w:r>
          </w:p>
        </w:tc>
        <w:tc>
          <w:tcPr>
            <w:tcW w:w="1253"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362E1F67">
            <w:pPr>
              <w:keepNext w:val="0"/>
              <w:keepLines w:val="0"/>
              <w:pageBreakBefore w:val="0"/>
              <w:widowControl w:val="0"/>
              <w:kinsoku w:val="0"/>
              <w:wordWrap/>
              <w:overflowPunct/>
              <w:topLinePunct w:val="0"/>
              <w:autoSpaceDE w:val="0"/>
              <w:autoSpaceDN w:val="0"/>
              <w:bidi w:val="0"/>
              <w:adjustRightInd w:val="0"/>
              <w:snapToGrid w:val="0"/>
              <w:spacing w:before="120" w:after="120" w:line="240" w:lineRule="auto"/>
              <w:ind w:left="0" w:leftChars="0" w:right="0" w:rightChars="0" w:firstLine="0" w:firstLineChars="0"/>
              <w:jc w:val="center"/>
              <w:textAlignment w:val="baseline"/>
              <w:rPr>
                <w:b/>
              </w:rPr>
            </w:pPr>
          </w:p>
        </w:tc>
        <w:tc>
          <w:tcPr>
            <w:tcW w:w="46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5D2F74E">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b/>
              </w:rPr>
            </w:pPr>
            <w:r>
              <w:rPr>
                <w:b/>
              </w:rPr>
              <w:t>2</w:t>
            </w:r>
          </w:p>
        </w:tc>
        <w:tc>
          <w:tcPr>
            <w:tcW w:w="46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15F812B5">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1</w:t>
            </w:r>
          </w:p>
        </w:tc>
        <w:tc>
          <w:tcPr>
            <w:tcW w:w="467" w:type="dxa"/>
            <w:tcBorders>
              <w:top w:val="single" w:color="auto" w:sz="4" w:space="0"/>
              <w:left w:val="single" w:color="auto" w:sz="4" w:space="0"/>
              <w:bottom w:val="single" w:color="auto" w:sz="12" w:space="0"/>
              <w:right w:val="nil"/>
            </w:tcBorders>
            <w:tcMar>
              <w:top w:w="60" w:type="dxa"/>
              <w:left w:w="120" w:type="dxa"/>
              <w:bottom w:w="30" w:type="dxa"/>
              <w:right w:w="120" w:type="dxa"/>
            </w:tcMar>
            <w:vAlign w:val="center"/>
          </w:tcPr>
          <w:p w14:paraId="40F9AE37">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2</w:t>
            </w:r>
          </w:p>
        </w:tc>
        <w:tc>
          <w:tcPr>
            <w:tcW w:w="467" w:type="dxa"/>
            <w:tcBorders>
              <w:top w:val="single" w:color="auto" w:sz="4" w:space="0"/>
              <w:left w:val="single" w:color="auto" w:sz="4" w:space="0"/>
              <w:bottom w:val="single" w:color="auto" w:sz="12" w:space="0"/>
              <w:right w:val="single" w:color="auto" w:sz="12" w:space="0"/>
            </w:tcBorders>
            <w:tcMar>
              <w:top w:w="60" w:type="dxa"/>
              <w:left w:w="120" w:type="dxa"/>
              <w:bottom w:w="30" w:type="dxa"/>
              <w:right w:w="120" w:type="dxa"/>
            </w:tcMar>
            <w:vAlign w:val="center"/>
          </w:tcPr>
          <w:p w14:paraId="2B6FEF6C">
            <w:pPr>
              <w:pStyle w:val="32"/>
              <w:keepNext w:val="0"/>
              <w:keepLines w:val="0"/>
              <w:pageBreakBefore w:val="0"/>
              <w:widowControl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b/>
              </w:rPr>
            </w:pPr>
            <w:r>
              <w:rPr>
                <w:b/>
              </w:rPr>
              <w:t>1</w:t>
            </w:r>
          </w:p>
        </w:tc>
      </w:tr>
    </w:tbl>
    <w:p w14:paraId="75F5837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KPI指标：人员招聘计划达成率</w:t>
      </w:r>
    </w:p>
    <w:p w14:paraId="61A3F0F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人员招聘计划达成率是反映年度招聘计划完成情况的量化指标，其计算公式为：人员招聘计划达成率 = (实际</w:t>
      </w:r>
      <w:r>
        <w:rPr>
          <w:rFonts w:hint="eastAsia"/>
          <w:lang w:val="en-US" w:eastAsia="zh-CN"/>
        </w:rPr>
        <w:t>招聘</w:t>
      </w:r>
      <w:r>
        <w:rPr>
          <w:rFonts w:hint="default"/>
          <w:lang w:val="en-US" w:eastAsia="zh-CN"/>
        </w:rPr>
        <w:t>人数</w:t>
      </w:r>
      <w:r>
        <w:rPr>
          <w:rFonts w:hint="eastAsia"/>
          <w:lang w:val="en-US" w:eastAsia="zh-CN"/>
        </w:rPr>
        <w:t>/</w:t>
      </w:r>
      <w:r>
        <w:rPr>
          <w:rFonts w:hint="default"/>
          <w:lang w:val="en-US" w:eastAsia="zh-CN"/>
        </w:rPr>
        <w:t xml:space="preserve">计划招聘人数) × 100%。目标值为 </w:t>
      </w:r>
      <w:r>
        <w:rPr>
          <w:rFonts w:hint="eastAsia"/>
          <w:lang w:val="en-US" w:eastAsia="zh-CN"/>
        </w:rPr>
        <w:t>100</w:t>
      </w:r>
      <w:r>
        <w:rPr>
          <w:rFonts w:hint="default"/>
          <w:lang w:val="en-US" w:eastAsia="zh-CN"/>
        </w:rPr>
        <w:t>%，按季度进行考核，责任部门为人力部。</w:t>
      </w:r>
    </w:p>
    <w:p w14:paraId="07D0F5D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5" w:name="_Toc13766"/>
      <w:r>
        <w:rPr>
          <w:rFonts w:hint="eastAsia"/>
          <w:lang w:val="en-US" w:eastAsia="zh-CN"/>
        </w:rPr>
        <w:t>人员储备计划</w:t>
      </w:r>
      <w:bookmarkEnd w:id="15"/>
    </w:p>
    <w:p w14:paraId="61C5FB3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为保障公司关键岗位人员变动的连续性，降低因人员流失、岗位调整带来的业务风险，建立可持续的人才供给机制，特制定本储备计划。储备工作遵循“提前规划、定向培养、动态管理”的原则，通过内部培养与外部引进相结合的方式，为公司运维服务能力建设提供稳定的人才梯队支持，确保关键岗位空缺时能够快速补位。</w:t>
      </w:r>
    </w:p>
    <w:p w14:paraId="1CB19C4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hAnsi="Segoe UI" w:eastAsia="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2</w:t>
      </w:r>
      <w:r>
        <w:rPr>
          <w:rFonts w:hint="eastAsia"/>
          <w:lang w:val="en-US" w:eastAsia="zh-CN"/>
        </w:rPr>
        <w:fldChar w:fldCharType="end"/>
      </w:r>
      <w:bookmarkStart w:id="16" w:name="_Toc23958"/>
      <w:r>
        <w:rPr>
          <w:rFonts w:hint="eastAsia"/>
          <w:lang w:val="en-US" w:eastAsia="zh-CN"/>
        </w:rPr>
        <w:t xml:space="preserve"> 2026年度人员内部储备计划表</w:t>
      </w:r>
      <w:bookmarkEnd w:id="1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1743"/>
        <w:gridCol w:w="1728"/>
        <w:gridCol w:w="1310"/>
        <w:gridCol w:w="1716"/>
        <w:gridCol w:w="1318"/>
      </w:tblGrid>
      <w:tr w14:paraId="2930A0C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0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D5A53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174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58E7A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c>
          <w:tcPr>
            <w:tcW w:w="172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A560F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储备岗位</w:t>
            </w:r>
          </w:p>
        </w:tc>
        <w:tc>
          <w:tcPr>
            <w:tcW w:w="131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B97A0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储备方式</w:t>
            </w:r>
          </w:p>
        </w:tc>
        <w:tc>
          <w:tcPr>
            <w:tcW w:w="171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59186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储备目标人数</w:t>
            </w:r>
          </w:p>
        </w:tc>
        <w:tc>
          <w:tcPr>
            <w:tcW w:w="131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59C42B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储备来源</w:t>
            </w:r>
          </w:p>
        </w:tc>
      </w:tr>
      <w:tr w14:paraId="4EDA9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8422F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w:t>
            </w:r>
          </w:p>
        </w:tc>
        <w:tc>
          <w:tcPr>
            <w:tcW w:w="174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F114B8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2026年6月</w:t>
            </w:r>
          </w:p>
        </w:tc>
        <w:tc>
          <w:tcPr>
            <w:tcW w:w="172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CACBB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运维项目经理</w:t>
            </w:r>
          </w:p>
        </w:tc>
        <w:tc>
          <w:tcPr>
            <w:tcW w:w="13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C723D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内部培养</w:t>
            </w:r>
          </w:p>
        </w:tc>
        <w:tc>
          <w:tcPr>
            <w:tcW w:w="171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E5EFB7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1人</w:t>
            </w:r>
          </w:p>
        </w:tc>
        <w:tc>
          <w:tcPr>
            <w:tcW w:w="131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134F8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内部选拔</w:t>
            </w:r>
          </w:p>
        </w:tc>
      </w:tr>
      <w:tr w14:paraId="099F0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E6B51E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w:t>
            </w:r>
          </w:p>
        </w:tc>
        <w:tc>
          <w:tcPr>
            <w:tcW w:w="174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05D1A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2026年12月</w:t>
            </w:r>
          </w:p>
        </w:tc>
        <w:tc>
          <w:tcPr>
            <w:tcW w:w="172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B44FC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研发工程师</w:t>
            </w:r>
          </w:p>
        </w:tc>
        <w:tc>
          <w:tcPr>
            <w:tcW w:w="131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2AD468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内部培养</w:t>
            </w:r>
          </w:p>
        </w:tc>
        <w:tc>
          <w:tcPr>
            <w:tcW w:w="171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AC63A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1人</w:t>
            </w:r>
          </w:p>
        </w:tc>
        <w:tc>
          <w:tcPr>
            <w:tcW w:w="131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8D916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内部选拔</w:t>
            </w:r>
          </w:p>
        </w:tc>
      </w:tr>
    </w:tbl>
    <w:p w14:paraId="17755F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KPI指标：人员储备计划达成率</w:t>
      </w:r>
    </w:p>
    <w:p w14:paraId="00F540E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人员储备计划达成率是反映关键岗位内部储备计划完成情况的量化指标，其计算公式为：人员储备计划达成率 = (实际储备人数 / 计划储备人数) × 100%。目标值为 ≥ 80%，按季度进行考核，责任部门为人力部。</w:t>
      </w:r>
    </w:p>
    <w:p w14:paraId="3F25DAC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17" w:name="_Toc10694"/>
      <w:r>
        <w:rPr>
          <w:rFonts w:hint="eastAsia"/>
          <w:lang w:val="en-US" w:eastAsia="zh-CN"/>
        </w:rPr>
        <w:t>人员培训计划</w:t>
      </w:r>
      <w:bookmarkEnd w:id="17"/>
    </w:p>
    <w:p w14:paraId="6D8E88D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为提升员工的专业技能和综合素质，确保运维服务人员能力满足岗位要求，根据《人员培训管理制度》制定2026年度培训计划。培训主要分为管理、技术、操作三个方向，人力部对培训情况进行汇总并对相关课件进行统一归档。</w:t>
      </w:r>
    </w:p>
    <w:p w14:paraId="061711F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p>
    <w:p w14:paraId="4851B11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sectPr>
          <w:pgSz w:w="11906" w:h="16838"/>
          <w:pgMar w:top="1440" w:right="1800" w:bottom="1440" w:left="1800" w:header="851" w:footer="992" w:gutter="0"/>
          <w:cols w:space="425" w:num="1"/>
          <w:docGrid w:type="lines" w:linePitch="312" w:charSpace="0"/>
        </w:sectPr>
      </w:pPr>
    </w:p>
    <w:p w14:paraId="663E6580">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ascii="Segoe UI" w:hAnsi="Segoe UI" w:eastAsia="Segoe UI" w:cs="Segoe UI"/>
          <w:i w:val="0"/>
          <w:iCs w:val="0"/>
          <w:caps w:val="0"/>
          <w:color w:val="0F1115"/>
          <w:spacing w:val="0"/>
          <w:sz w:val="24"/>
          <w:szCs w:val="24"/>
          <w:shd w:val="clear" w:color="auto" w:fill="FFFFFF"/>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3</w:t>
      </w:r>
      <w:r>
        <w:rPr>
          <w:rFonts w:hint="eastAsia"/>
          <w:lang w:val="en-US" w:eastAsia="zh-CN"/>
        </w:rPr>
        <w:fldChar w:fldCharType="end"/>
      </w:r>
      <w:bookmarkStart w:id="18" w:name="_Toc4406"/>
      <w:r>
        <w:rPr>
          <w:rFonts w:hint="eastAsia"/>
          <w:lang w:val="en-US" w:eastAsia="zh-CN"/>
        </w:rPr>
        <w:t xml:space="preserve"> 2026年度人员培训计划表</w:t>
      </w:r>
      <w:bookmarkEnd w:id="18"/>
    </w:p>
    <w:tbl>
      <w:tblPr>
        <w:tblStyle w:val="23"/>
        <w:tblW w:w="1417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888"/>
        <w:gridCol w:w="2427"/>
        <w:gridCol w:w="911"/>
        <w:gridCol w:w="1642"/>
        <w:gridCol w:w="1260"/>
        <w:gridCol w:w="885"/>
        <w:gridCol w:w="1532"/>
        <w:gridCol w:w="1258"/>
        <w:gridCol w:w="1453"/>
        <w:gridCol w:w="1211"/>
      </w:tblGrid>
      <w:tr w14:paraId="7251F08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70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84434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类型</w:t>
            </w:r>
          </w:p>
        </w:tc>
        <w:tc>
          <w:tcPr>
            <w:tcW w:w="88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B2B8E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序号</w:t>
            </w:r>
          </w:p>
        </w:tc>
        <w:tc>
          <w:tcPr>
            <w:tcW w:w="242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DDA54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培训内容</w:t>
            </w:r>
          </w:p>
        </w:tc>
        <w:tc>
          <w:tcPr>
            <w:tcW w:w="91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F01B0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时长</w:t>
            </w:r>
          </w:p>
        </w:tc>
        <w:tc>
          <w:tcPr>
            <w:tcW w:w="164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475AC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培训对象</w:t>
            </w:r>
          </w:p>
        </w:tc>
        <w:tc>
          <w:tcPr>
            <w:tcW w:w="126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061D5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培训老师</w:t>
            </w:r>
          </w:p>
        </w:tc>
        <w:tc>
          <w:tcPr>
            <w:tcW w:w="885"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59267D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方式</w:t>
            </w:r>
          </w:p>
        </w:tc>
        <w:tc>
          <w:tcPr>
            <w:tcW w:w="153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8FC9C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计划时间</w:t>
            </w:r>
          </w:p>
        </w:tc>
        <w:tc>
          <w:tcPr>
            <w:tcW w:w="1258"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E0BA90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考核方式</w:t>
            </w:r>
          </w:p>
        </w:tc>
        <w:tc>
          <w:tcPr>
            <w:tcW w:w="145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AF439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负责部门</w:t>
            </w:r>
          </w:p>
        </w:tc>
        <w:tc>
          <w:tcPr>
            <w:tcW w:w="121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839E46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snapToGrid w:val="0"/>
                <w:color w:val="000000"/>
                <w:spacing w:val="0"/>
                <w:kern w:val="0"/>
                <w:sz w:val="22"/>
                <w:szCs w:val="22"/>
                <w:lang w:val="en-US" w:eastAsia="zh-CN"/>
              </w:rPr>
            </w:pPr>
            <w:r>
              <w:rPr>
                <w:rFonts w:hint="default" w:ascii="Segoe UI" w:hAnsi="Segoe UI" w:eastAsia="Segoe UI" w:cs="Segoe UI"/>
                <w:b/>
                <w:i w:val="0"/>
                <w:iCs w:val="0"/>
                <w:caps w:val="0"/>
                <w:snapToGrid w:val="0"/>
                <w:color w:val="000000"/>
                <w:spacing w:val="0"/>
                <w:kern w:val="0"/>
                <w:sz w:val="22"/>
                <w:szCs w:val="22"/>
                <w:lang w:val="en-US" w:eastAsia="zh-CN"/>
              </w:rPr>
              <w:t>预算</w:t>
            </w:r>
          </w:p>
          <w:p w14:paraId="4A528D5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(元)</w:t>
            </w:r>
          </w:p>
        </w:tc>
      </w:tr>
      <w:tr w14:paraId="26500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2294C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EF5699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04F6F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新员工入职培训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1C91B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2.5h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9A4FA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入职新员工</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A82CC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马盛艳</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89DC9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2DEC6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入职一周内</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633BD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370355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464F2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5B315B7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F317E6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4E4F8B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75D8C9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ITSS运维体系培训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9216B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803B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部门经理</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D272DF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外部专家</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1213C8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10F4E5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7D773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3D729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BC2E8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4000</w:t>
            </w:r>
          </w:p>
        </w:tc>
      </w:tr>
      <w:tr w14:paraId="43CA99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B0BBA3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D44478D">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9C8C4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质量管理培训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08B55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07590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部门经理</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91999A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李勤锐</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A1C9C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05B12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2026年2月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2B4FF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D3D08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E583A0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r>
      <w:tr w14:paraId="08E2D1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3D531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0BCF84C">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7992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现场实施规范</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925C9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96678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595CF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汪锦坤</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2342F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B1908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2026年3月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7714F9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05D7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B2CEAE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r>
      <w:tr w14:paraId="7E14CF6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76EAA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A4156D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70FD4D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运维工具培训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E2D57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2911D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运维相关人员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F9C786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汪锦坤</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2E2E8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3937E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2026年4月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4A92C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心得总结</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0C7CA4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95E0A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800</w:t>
            </w:r>
          </w:p>
        </w:tc>
      </w:tr>
      <w:tr w14:paraId="3D817E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72EF4A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082891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706B6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机房常见故障培训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58E9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AEE31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7C2F8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汪锦坤</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18DDB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CA657B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2026年6月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BC773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76DD0F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677D1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1E69B3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889DA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D51BDD8">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11D06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交付规范培训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9A417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ADAE08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9AE0F9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汪锦坤</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09B8C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E4A92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2026年6月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D5797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73C73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8698B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r>
      <w:tr w14:paraId="253E2A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7296D7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CE019E">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695E8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监控系统培训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74B81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BD9C9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运维工程师</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D948AA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厂商</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2F3BF7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3A8D1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2026年7月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6CCFA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CFCE9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90590D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5200</w:t>
            </w:r>
          </w:p>
        </w:tc>
      </w:tr>
      <w:tr w14:paraId="601CDA7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0337EB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3C6E736">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9E15B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w:t>
            </w:r>
            <w:r>
              <w:rPr>
                <w:rFonts w:hint="eastAsia" w:ascii="Segoe UI" w:hAnsi="Segoe UI" w:eastAsia="Segoe UI" w:cs="Segoe UI"/>
                <w:i w:val="0"/>
                <w:iCs w:val="0"/>
                <w:caps w:val="0"/>
                <w:snapToGrid w:val="0"/>
                <w:color w:val="000000"/>
                <w:spacing w:val="0"/>
                <w:kern w:val="0"/>
                <w:sz w:val="22"/>
                <w:szCs w:val="22"/>
                <w:lang w:val="en-US" w:eastAsia="zh-CN"/>
              </w:rPr>
              <w:t>知识</w:t>
            </w:r>
            <w:r>
              <w:rPr>
                <w:rFonts w:hint="default" w:ascii="Segoe UI" w:hAnsi="Segoe UI" w:eastAsia="Segoe UI" w:cs="Segoe UI"/>
                <w:i w:val="0"/>
                <w:iCs w:val="0"/>
                <w:caps w:val="0"/>
                <w:snapToGrid w:val="0"/>
                <w:color w:val="000000"/>
                <w:spacing w:val="0"/>
                <w:kern w:val="0"/>
                <w:sz w:val="22"/>
                <w:szCs w:val="22"/>
                <w:lang w:val="en-US" w:eastAsia="zh-CN"/>
              </w:rPr>
              <w:t>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896C32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3762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服务台专员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883891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汪锦坤</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F3EFA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E9C16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2026年8月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069C7C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BBD81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BB2DA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073712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C0094B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75D19A5">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C18313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宋体" w:cs="Segoe UI"/>
                <w:i w:val="0"/>
                <w:iCs w:val="0"/>
                <w:caps w:val="0"/>
                <w:color w:val="0F1115"/>
                <w:spacing w:val="0"/>
                <w:sz w:val="22"/>
                <w:szCs w:val="22"/>
                <w:lang w:val="en-US" w:eastAsia="zh-CN"/>
              </w:rPr>
            </w:pPr>
            <w:r>
              <w:rPr>
                <w:rFonts w:hint="eastAsia" w:ascii="Segoe UI" w:hAnsi="Segoe UI" w:eastAsia="宋体" w:cs="Segoe UI"/>
                <w:i w:val="0"/>
                <w:iCs w:val="0"/>
                <w:caps w:val="0"/>
                <w:color w:val="0F1115"/>
                <w:spacing w:val="0"/>
                <w:sz w:val="22"/>
                <w:szCs w:val="22"/>
                <w:lang w:val="en-US" w:eastAsia="zh-CN"/>
              </w:rPr>
              <w:t>研发管理规范培训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1B06B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191C74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运维相关人员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03F4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马璐艳</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33FAAA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24A13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2026年9月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135B77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5489C1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60B634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3BFFE9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0B13CE1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技术</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8BF1D57">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41E03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机房设备基础知识培训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90B48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2h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A2C968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入职新员工</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8BC9C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汪锦坤</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6A85C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363A9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2026年</w:t>
            </w:r>
            <w:r>
              <w:rPr>
                <w:rFonts w:hint="eastAsia" w:ascii="Segoe UI" w:hAnsi="Segoe UI" w:eastAsia="Segoe UI" w:cs="Segoe UI"/>
                <w:i w:val="0"/>
                <w:iCs w:val="0"/>
                <w:caps w:val="0"/>
                <w:snapToGrid w:val="0"/>
                <w:color w:val="000000"/>
                <w:spacing w:val="0"/>
                <w:kern w:val="0"/>
                <w:sz w:val="22"/>
                <w:szCs w:val="22"/>
                <w:lang w:val="en-US" w:eastAsia="zh-CN"/>
              </w:rPr>
              <w:t>10</w:t>
            </w:r>
            <w:r>
              <w:rPr>
                <w:rFonts w:hint="default" w:ascii="Segoe UI" w:hAnsi="Segoe UI" w:eastAsia="Segoe UI" w:cs="Segoe UI"/>
                <w:i w:val="0"/>
                <w:iCs w:val="0"/>
                <w:caps w:val="0"/>
                <w:snapToGrid w:val="0"/>
                <w:color w:val="000000"/>
                <w:spacing w:val="0"/>
                <w:kern w:val="0"/>
                <w:sz w:val="22"/>
                <w:szCs w:val="22"/>
                <w:lang w:val="en-US" w:eastAsia="zh-CN"/>
              </w:rPr>
              <w:t>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6298C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3D19E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73EB1D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F1115"/>
                <w:spacing w:val="0"/>
                <w:kern w:val="0"/>
                <w:sz w:val="22"/>
                <w:szCs w:val="22"/>
                <w:lang w:val="en-US" w:eastAsia="zh-CN" w:bidi="ar-SA"/>
              </w:rPr>
            </w:pPr>
            <w:r>
              <w:rPr>
                <w:rFonts w:hint="default" w:ascii="Segoe UI" w:hAnsi="Segoe UI" w:eastAsia="Segoe UI" w:cs="Segoe UI"/>
                <w:i w:val="0"/>
                <w:iCs w:val="0"/>
                <w:caps w:val="0"/>
                <w:snapToGrid w:val="0"/>
                <w:color w:val="000000"/>
                <w:spacing w:val="0"/>
                <w:kern w:val="0"/>
                <w:sz w:val="22"/>
                <w:szCs w:val="22"/>
                <w:lang w:val="en-US" w:eastAsia="zh-CN"/>
              </w:rPr>
              <w:t>800</w:t>
            </w:r>
          </w:p>
        </w:tc>
      </w:tr>
      <w:tr w14:paraId="3EFC01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1B13A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管理</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43281E9">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5E0A71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信息安全风险培训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AE133C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0B61A5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运维相关人员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0C2C0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外部专家</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40A7F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外训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820F74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2026年11月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192C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现场交流</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6F03F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EB5D89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4800</w:t>
            </w:r>
          </w:p>
        </w:tc>
      </w:tr>
      <w:tr w14:paraId="722662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1B6CA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w:t>
            </w:r>
          </w:p>
        </w:tc>
        <w:tc>
          <w:tcPr>
            <w:tcW w:w="88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E3A0F94">
            <w:pPr>
              <w:keepNext w:val="0"/>
              <w:keepLines w:val="0"/>
              <w:pageBreakBefore w:val="0"/>
              <w:widowControl w:val="0"/>
              <w:numPr>
                <w:ilvl w:val="0"/>
                <w:numId w:val="2"/>
              </w:numPr>
              <w:suppressLineNumbers w:val="0"/>
              <w:kinsoku w:val="0"/>
              <w:wordWrap/>
              <w:overflowPunct/>
              <w:topLinePunct w:val="0"/>
              <w:autoSpaceDE w:val="0"/>
              <w:autoSpaceDN w:val="0"/>
              <w:bidi w:val="0"/>
              <w:adjustRightInd w:val="0"/>
              <w:snapToGrid w:val="0"/>
              <w:spacing w:line="240" w:lineRule="auto"/>
              <w:ind w:left="425" w:leftChars="0" w:right="0" w:rightChars="0" w:hanging="425" w:firstLineChars="0"/>
              <w:jc w:val="center"/>
              <w:textAlignment w:val="baseline"/>
              <w:rPr>
                <w:rFonts w:hint="default" w:ascii="Segoe UI" w:hAnsi="Segoe UI" w:eastAsia="Segoe UI" w:cs="Segoe UI"/>
                <w:i w:val="0"/>
                <w:iCs w:val="0"/>
                <w:caps w:val="0"/>
                <w:color w:val="0F1115"/>
                <w:spacing w:val="0"/>
                <w:sz w:val="22"/>
                <w:szCs w:val="22"/>
              </w:rPr>
            </w:pPr>
          </w:p>
        </w:tc>
        <w:tc>
          <w:tcPr>
            <w:tcW w:w="24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E773D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备件管理制度培训</w:t>
            </w:r>
          </w:p>
        </w:tc>
        <w:tc>
          <w:tcPr>
            <w:tcW w:w="91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EEA50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1.5h</w:t>
            </w:r>
          </w:p>
        </w:tc>
        <w:tc>
          <w:tcPr>
            <w:tcW w:w="164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B8443F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备件管理人员</w:t>
            </w:r>
          </w:p>
        </w:tc>
        <w:tc>
          <w:tcPr>
            <w:tcW w:w="126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C543C6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刘海燕</w:t>
            </w:r>
          </w:p>
        </w:tc>
        <w:tc>
          <w:tcPr>
            <w:tcW w:w="885"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42C734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w:t>
            </w:r>
          </w:p>
        </w:tc>
        <w:tc>
          <w:tcPr>
            <w:tcW w:w="15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70E639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2026年12月</w:t>
            </w:r>
          </w:p>
        </w:tc>
        <w:tc>
          <w:tcPr>
            <w:tcW w:w="1258"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D2FA5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口头提问</w:t>
            </w:r>
          </w:p>
        </w:tc>
        <w:tc>
          <w:tcPr>
            <w:tcW w:w="145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11C92E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eastAsia" w:ascii="Segoe UI" w:hAnsi="Segoe UI" w:eastAsia="Segoe UI" w:cs="Segoe UI"/>
                <w:i w:val="0"/>
                <w:iCs w:val="0"/>
                <w:caps w:val="0"/>
                <w:snapToGrid w:val="0"/>
                <w:color w:val="000000"/>
                <w:spacing w:val="0"/>
                <w:kern w:val="0"/>
                <w:sz w:val="22"/>
                <w:szCs w:val="22"/>
                <w:lang w:val="en-US" w:eastAsia="zh-CN"/>
              </w:rPr>
              <w:t>备件库</w:t>
            </w:r>
          </w:p>
        </w:tc>
        <w:tc>
          <w:tcPr>
            <w:tcW w:w="12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3A423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r>
      <w:tr w14:paraId="213891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70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5CF0B0C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合计</w:t>
            </w:r>
          </w:p>
        </w:tc>
        <w:tc>
          <w:tcPr>
            <w:tcW w:w="88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0905C3C">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242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72022D9">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91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1CEB02D">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22"/>
                <w:szCs w:val="22"/>
              </w:rPr>
            </w:pPr>
          </w:p>
        </w:tc>
        <w:tc>
          <w:tcPr>
            <w:tcW w:w="164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7A1353F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22"/>
                <w:szCs w:val="22"/>
              </w:rPr>
            </w:pPr>
          </w:p>
        </w:tc>
        <w:tc>
          <w:tcPr>
            <w:tcW w:w="126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A0D28B5">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885"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306A30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left"/>
              <w:textAlignment w:val="baseline"/>
              <w:rPr>
                <w:rFonts w:hint="default" w:ascii="Segoe UI" w:hAnsi="Segoe UI" w:eastAsia="Segoe UI" w:cs="Segoe UI"/>
                <w:b/>
                <w:i w:val="0"/>
                <w:iCs w:val="0"/>
                <w:caps w:val="0"/>
                <w:color w:val="0F1115"/>
                <w:spacing w:val="0"/>
                <w:sz w:val="22"/>
                <w:szCs w:val="22"/>
              </w:rPr>
            </w:pPr>
          </w:p>
        </w:tc>
        <w:tc>
          <w:tcPr>
            <w:tcW w:w="153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CD6AD4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1258"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3321CA0">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145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730E6C3">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p>
        </w:tc>
        <w:tc>
          <w:tcPr>
            <w:tcW w:w="121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7C35AB5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21700</w:t>
            </w:r>
          </w:p>
        </w:tc>
      </w:tr>
    </w:tbl>
    <w:p w14:paraId="6689BCDF">
      <w:pPr>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sectPr>
          <w:pgSz w:w="16838" w:h="11906" w:orient="landscape"/>
          <w:pgMar w:top="1800" w:right="1440" w:bottom="1800" w:left="1440" w:header="851" w:footer="992" w:gutter="0"/>
          <w:cols w:space="425" w:num="1"/>
          <w:docGrid w:type="lines" w:linePitch="312" w:charSpace="0"/>
        </w:sectPr>
      </w:pPr>
      <w:r>
        <w:rPr>
          <w:rFonts w:hint="eastAsia" w:ascii="Segoe UI" w:hAnsi="Segoe UI" w:eastAsia="Segoe UI" w:cs="Segoe UI"/>
          <w:i w:val="0"/>
          <w:iCs w:val="0"/>
          <w:caps w:val="0"/>
          <w:color w:val="0F1115"/>
          <w:spacing w:val="0"/>
          <w:sz w:val="24"/>
          <w:szCs w:val="24"/>
          <w:shd w:val="clear" w:color="auto" w:fill="FFFFFF"/>
          <w:lang w:val="en-US" w:eastAsia="zh-CN"/>
        </w:rPr>
        <w:br w:type="page"/>
      </w:r>
    </w:p>
    <w:p w14:paraId="3B14486A">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4</w:t>
      </w:r>
      <w:r>
        <w:rPr>
          <w:rFonts w:hint="eastAsia"/>
          <w:lang w:val="en-US" w:eastAsia="zh-CN"/>
        </w:rPr>
        <w:fldChar w:fldCharType="end"/>
      </w:r>
      <w:bookmarkStart w:id="19" w:name="_Toc28815"/>
      <w:r>
        <w:rPr>
          <w:rFonts w:hint="eastAsia"/>
          <w:lang w:val="en-US" w:eastAsia="zh-CN"/>
        </w:rPr>
        <w:t xml:space="preserve"> 2026年度人员培训预算汇总表</w:t>
      </w:r>
      <w:bookmarkEnd w:id="19"/>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09"/>
        <w:gridCol w:w="2576"/>
        <w:gridCol w:w="4237"/>
      </w:tblGrid>
      <w:tr w14:paraId="7C2C2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70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163DD3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部门</w:t>
            </w:r>
          </w:p>
        </w:tc>
        <w:tc>
          <w:tcPr>
            <w:tcW w:w="2576"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6CFA85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预算金额（元）</w:t>
            </w:r>
          </w:p>
        </w:tc>
        <w:tc>
          <w:tcPr>
            <w:tcW w:w="4237"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0F2D8CA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说明</w:t>
            </w:r>
          </w:p>
        </w:tc>
      </w:tr>
      <w:tr w14:paraId="7056DEE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DE6B92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8B16D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19000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59BFB3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内训+外训</w:t>
            </w:r>
          </w:p>
        </w:tc>
      </w:tr>
      <w:tr w14:paraId="727B36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C7DEE2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5E3D4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500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E7E72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研发管理规范培训</w:t>
            </w:r>
          </w:p>
        </w:tc>
      </w:tr>
      <w:tr w14:paraId="438C1E3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55FBC2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0D588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47CDBE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质量管理培训</w:t>
            </w:r>
          </w:p>
        </w:tc>
      </w:tr>
      <w:tr w14:paraId="42F290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B67CA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5D248A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500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0B4B1F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新员工入职培训</w:t>
            </w:r>
          </w:p>
        </w:tc>
      </w:tr>
      <w:tr w14:paraId="607A1B4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1105E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备件库</w:t>
            </w:r>
          </w:p>
        </w:tc>
        <w:tc>
          <w:tcPr>
            <w:tcW w:w="2576"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FEAB79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snapToGrid w:val="0"/>
                <w:color w:val="000000"/>
                <w:spacing w:val="0"/>
                <w:kern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500</w:t>
            </w:r>
          </w:p>
        </w:tc>
        <w:tc>
          <w:tcPr>
            <w:tcW w:w="4237"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00D485D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snapToGrid w:val="0"/>
                <w:color w:val="000000"/>
                <w:spacing w:val="0"/>
                <w:kern w:val="0"/>
                <w:sz w:val="22"/>
                <w:szCs w:val="22"/>
                <w:lang w:val="en-US" w:eastAsia="zh-CN"/>
              </w:rPr>
            </w:pPr>
            <w:r>
              <w:rPr>
                <w:rFonts w:hint="eastAsia" w:ascii="Segoe UI" w:hAnsi="Segoe UI" w:eastAsia="Segoe UI" w:cs="Segoe UI"/>
                <w:i w:val="0"/>
                <w:iCs w:val="0"/>
                <w:caps w:val="0"/>
                <w:snapToGrid w:val="0"/>
                <w:color w:val="000000"/>
                <w:spacing w:val="0"/>
                <w:kern w:val="0"/>
                <w:sz w:val="22"/>
                <w:szCs w:val="22"/>
                <w:lang w:val="en-US" w:eastAsia="zh-CN"/>
              </w:rPr>
              <w:t>备件管理培训</w:t>
            </w:r>
          </w:p>
        </w:tc>
      </w:tr>
      <w:tr w14:paraId="446A1B3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0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FBC119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总计</w:t>
            </w:r>
          </w:p>
        </w:tc>
        <w:tc>
          <w:tcPr>
            <w:tcW w:w="2576"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082209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Style w:val="26"/>
                <w:rFonts w:hint="default" w:ascii="Segoe UI" w:hAnsi="Segoe UI" w:eastAsia="Segoe UI" w:cs="Segoe UI"/>
                <w:b/>
                <w:bCs/>
                <w:i w:val="0"/>
                <w:iCs w:val="0"/>
                <w:caps w:val="0"/>
                <w:snapToGrid w:val="0"/>
                <w:color w:val="000000"/>
                <w:spacing w:val="0"/>
                <w:kern w:val="0"/>
                <w:sz w:val="22"/>
                <w:szCs w:val="22"/>
                <w:lang w:val="en-US" w:eastAsia="zh-CN"/>
              </w:rPr>
              <w:t>21700</w:t>
            </w:r>
          </w:p>
        </w:tc>
        <w:tc>
          <w:tcPr>
            <w:tcW w:w="4237"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202F8F54">
            <w:pPr>
              <w:keepNext w:val="0"/>
              <w:keepLines w:val="0"/>
              <w:pageBreakBefore w:val="0"/>
              <w:widowControl w:val="0"/>
              <w:kinsoku w:val="0"/>
              <w:wordWrap/>
              <w:overflowPunct/>
              <w:topLinePunct w:val="0"/>
              <w:autoSpaceDE w:val="0"/>
              <w:autoSpaceDN w:val="0"/>
              <w:bidi w:val="0"/>
              <w:adjustRightInd w:val="0"/>
              <w:snapToGrid w:val="0"/>
              <w:ind w:left="0" w:leftChars="0" w:right="0" w:rightChars="0" w:firstLine="0" w:firstLineChars="0"/>
              <w:jc w:val="right"/>
              <w:textAlignment w:val="baseline"/>
              <w:rPr>
                <w:rFonts w:hint="default" w:ascii="Segoe UI" w:hAnsi="Segoe UI" w:eastAsia="Segoe UI" w:cs="Segoe UI"/>
                <w:b/>
                <w:i w:val="0"/>
                <w:iCs w:val="0"/>
                <w:caps w:val="0"/>
                <w:color w:val="0F1115"/>
                <w:spacing w:val="0"/>
                <w:sz w:val="22"/>
                <w:szCs w:val="22"/>
              </w:rPr>
            </w:pPr>
          </w:p>
        </w:tc>
      </w:tr>
    </w:tbl>
    <w:p w14:paraId="789D6F4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KPI指标：人员培训计划达成率</w:t>
      </w:r>
    </w:p>
    <w:p w14:paraId="5DEA6E5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 xml:space="preserve">人员培训计划达成率是反映年度培训计划执行情况的量化指标，其计算公式为：人员培训计划达成率 = </w:t>
      </w:r>
      <w:r>
        <w:rPr>
          <w:rFonts w:hint="default"/>
          <w:lang w:val="en-US" w:eastAsia="zh-CN"/>
        </w:rPr>
        <w:t>（实际培训完成课程数/计划培训课程数）</w:t>
      </w:r>
      <w:r>
        <w:rPr>
          <w:rFonts w:hint="eastAsia"/>
          <w:lang w:val="en-US" w:eastAsia="zh-CN"/>
        </w:rPr>
        <w:t xml:space="preserve"> × 100%。目标值为 ≥ 90%，按季度进行考核，责任部门为人力部。</w:t>
      </w:r>
    </w:p>
    <w:p w14:paraId="43B06415">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0" w:name="_Toc15591"/>
      <w:r>
        <w:rPr>
          <w:rFonts w:hint="eastAsia"/>
          <w:lang w:val="en-US" w:eastAsia="zh-CN"/>
        </w:rPr>
        <w:t>人员备份计划</w:t>
      </w:r>
      <w:bookmarkEnd w:id="20"/>
    </w:p>
    <w:p w14:paraId="183A914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按照《人员备份管理制度》要求，对关键岗位进行备份管理，确保关键岗位人员因各种原因无法履职时能够迅速接替，保障业务连续性。</w:t>
      </w:r>
    </w:p>
    <w:p w14:paraId="58C83BF4">
      <w:pPr>
        <w:pStyle w:val="32"/>
        <w:keepNext w:val="0"/>
        <w:keepLines w:val="0"/>
        <w:pageBreakBefore w:val="0"/>
        <w:widowControl w:val="0"/>
        <w:kinsoku w:val="0"/>
        <w:wordWrap/>
        <w:overflowPunct/>
        <w:topLinePunct w:val="0"/>
        <w:autoSpaceDE w:val="0"/>
        <w:autoSpaceDN w:val="0"/>
        <w:bidi w:val="0"/>
        <w:adjustRightInd w:val="0"/>
        <w:snapToGrid w:val="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5</w:t>
      </w:r>
      <w:r>
        <w:rPr>
          <w:rFonts w:hint="eastAsia"/>
          <w:lang w:val="en-US" w:eastAsia="zh-CN"/>
        </w:rPr>
        <w:fldChar w:fldCharType="end"/>
      </w:r>
      <w:bookmarkStart w:id="21" w:name="_Toc21934"/>
      <w:r>
        <w:rPr>
          <w:rFonts w:hint="eastAsia"/>
          <w:lang w:val="en-US" w:eastAsia="zh-CN"/>
        </w:rPr>
        <w:t xml:space="preserve"> 2026年度人员关键岗位备份计划表</w:t>
      </w:r>
      <w:bookmarkEnd w:id="21"/>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67"/>
        <w:gridCol w:w="2032"/>
        <w:gridCol w:w="1810"/>
        <w:gridCol w:w="1502"/>
        <w:gridCol w:w="1811"/>
      </w:tblGrid>
      <w:tr w14:paraId="70163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67"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3E18B30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部门</w:t>
            </w:r>
          </w:p>
        </w:tc>
        <w:tc>
          <w:tcPr>
            <w:tcW w:w="203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7A0B4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A岗位</w:t>
            </w:r>
          </w:p>
        </w:tc>
        <w:tc>
          <w:tcPr>
            <w:tcW w:w="181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010F0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B岗</w:t>
            </w:r>
          </w:p>
        </w:tc>
        <w:tc>
          <w:tcPr>
            <w:tcW w:w="150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2FAFE9A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备份要求</w:t>
            </w:r>
          </w:p>
        </w:tc>
        <w:tc>
          <w:tcPr>
            <w:tcW w:w="181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C2EF7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计划完成时间</w:t>
            </w:r>
          </w:p>
        </w:tc>
      </w:tr>
      <w:tr w14:paraId="56B875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264B0E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c>
          <w:tcPr>
            <w:tcW w:w="20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6824DDC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运维部经理</w:t>
            </w:r>
          </w:p>
        </w:tc>
        <w:tc>
          <w:tcPr>
            <w:tcW w:w="18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C1E085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运维项目经理</w:t>
            </w:r>
          </w:p>
        </w:tc>
        <w:tc>
          <w:tcPr>
            <w:tcW w:w="15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2FB060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A09DC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2026年3月</w:t>
            </w:r>
          </w:p>
        </w:tc>
      </w:tr>
      <w:tr w14:paraId="7CED67B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1A654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w:t>
            </w:r>
          </w:p>
        </w:tc>
        <w:tc>
          <w:tcPr>
            <w:tcW w:w="20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6B813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研发部经理</w:t>
            </w:r>
          </w:p>
        </w:tc>
        <w:tc>
          <w:tcPr>
            <w:tcW w:w="18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C3C90F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研发工程师</w:t>
            </w:r>
          </w:p>
        </w:tc>
        <w:tc>
          <w:tcPr>
            <w:tcW w:w="15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CE806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3BB40E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2026年4月</w:t>
            </w:r>
          </w:p>
        </w:tc>
      </w:tr>
      <w:tr w14:paraId="3093042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6C5713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w:t>
            </w:r>
          </w:p>
        </w:tc>
        <w:tc>
          <w:tcPr>
            <w:tcW w:w="203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EA68C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质量部经理</w:t>
            </w:r>
          </w:p>
        </w:tc>
        <w:tc>
          <w:tcPr>
            <w:tcW w:w="181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77F116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质量部专员</w:t>
            </w:r>
          </w:p>
        </w:tc>
        <w:tc>
          <w:tcPr>
            <w:tcW w:w="150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5C5857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D1C5A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2026年9月</w:t>
            </w:r>
          </w:p>
        </w:tc>
      </w:tr>
      <w:tr w14:paraId="5CA077E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67"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2D2463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c>
          <w:tcPr>
            <w:tcW w:w="203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5806508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人力部经理</w:t>
            </w:r>
          </w:p>
        </w:tc>
        <w:tc>
          <w:tcPr>
            <w:tcW w:w="181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D9270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人事专员</w:t>
            </w:r>
          </w:p>
        </w:tc>
        <w:tc>
          <w:tcPr>
            <w:tcW w:w="150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1C765CA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A/B岗轮岗</w:t>
            </w:r>
          </w:p>
        </w:tc>
        <w:tc>
          <w:tcPr>
            <w:tcW w:w="181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16E3EA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2026年10月</w:t>
            </w:r>
          </w:p>
        </w:tc>
      </w:tr>
    </w:tbl>
    <w:p w14:paraId="2F07930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KPI指标：备份人员能力达标率</w:t>
      </w:r>
    </w:p>
    <w:p w14:paraId="622D296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备份人员能力达标率是反映关键岗位备份人员实际履职能力的量化指标，其计算公式为：备份人员能力达标率 = (能力验证合格的备份人员数 / 备份人员总数) × 100%。目标值为 ≥ 90%，按季度进行考核，责任部门为人力部。</w:t>
      </w:r>
    </w:p>
    <w:p w14:paraId="1C0B9D2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2" w:name="_Toc11860"/>
      <w:r>
        <w:rPr>
          <w:rFonts w:hint="eastAsia"/>
          <w:lang w:val="en-US" w:eastAsia="zh-CN"/>
        </w:rPr>
        <w:t>人员绩效考核计划</w:t>
      </w:r>
      <w:bookmarkEnd w:id="22"/>
    </w:p>
    <w:p w14:paraId="303D819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按照《人员绩效考核及技能评价管理制度》，对全体员工进行绩效考核，确保考核公平、公正、及时完成，考核结果与薪酬调整、岗位晋升、培训需求识别等挂钩。</w:t>
      </w:r>
    </w:p>
    <w:p w14:paraId="716AE2FD">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6</w:t>
      </w:r>
      <w:r>
        <w:rPr>
          <w:rFonts w:hint="eastAsia"/>
          <w:lang w:val="en-US" w:eastAsia="zh-CN"/>
        </w:rPr>
        <w:fldChar w:fldCharType="end"/>
      </w:r>
      <w:bookmarkStart w:id="23" w:name="_Toc251"/>
      <w:r>
        <w:rPr>
          <w:rFonts w:hint="eastAsia"/>
          <w:lang w:val="en-US" w:eastAsia="zh-CN"/>
        </w:rPr>
        <w:t xml:space="preserve"> 2026年度人员绩效考核计划表</w:t>
      </w:r>
      <w:bookmarkEnd w:id="23"/>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383"/>
        <w:gridCol w:w="1952"/>
        <w:gridCol w:w="1679"/>
        <w:gridCol w:w="1827"/>
        <w:gridCol w:w="1681"/>
      </w:tblGrid>
      <w:tr w14:paraId="43CA4F5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383"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6923D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考核类型</w:t>
            </w:r>
          </w:p>
        </w:tc>
        <w:tc>
          <w:tcPr>
            <w:tcW w:w="1952"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43FA2C8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考核周期</w:t>
            </w:r>
          </w:p>
        </w:tc>
        <w:tc>
          <w:tcPr>
            <w:tcW w:w="167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980596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考核对象</w:t>
            </w:r>
          </w:p>
        </w:tc>
        <w:tc>
          <w:tcPr>
            <w:tcW w:w="1827"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D657B2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考核时间</w:t>
            </w:r>
          </w:p>
        </w:tc>
        <w:tc>
          <w:tcPr>
            <w:tcW w:w="168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4F96290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37B98FE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571834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月度考核</w:t>
            </w:r>
          </w:p>
        </w:tc>
        <w:tc>
          <w:tcPr>
            <w:tcW w:w="195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79A42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每月一次</w:t>
            </w:r>
          </w:p>
        </w:tc>
        <w:tc>
          <w:tcPr>
            <w:tcW w:w="16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DC5866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47D35D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每月5日前</w:t>
            </w:r>
          </w:p>
        </w:tc>
        <w:tc>
          <w:tcPr>
            <w:tcW w:w="16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397376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r>
      <w:tr w14:paraId="1814D6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30783D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季度考核</w:t>
            </w:r>
          </w:p>
        </w:tc>
        <w:tc>
          <w:tcPr>
            <w:tcW w:w="1952"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CAB3C1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每季度一次</w:t>
            </w:r>
          </w:p>
        </w:tc>
        <w:tc>
          <w:tcPr>
            <w:tcW w:w="167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AE28B5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DC9DAC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每季度末</w:t>
            </w:r>
          </w:p>
        </w:tc>
        <w:tc>
          <w:tcPr>
            <w:tcW w:w="168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C4ACDF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r>
      <w:tr w14:paraId="21E5563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383"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047CA1C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年度考核</w:t>
            </w:r>
          </w:p>
        </w:tc>
        <w:tc>
          <w:tcPr>
            <w:tcW w:w="1952"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2DA19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每年一次</w:t>
            </w:r>
          </w:p>
        </w:tc>
        <w:tc>
          <w:tcPr>
            <w:tcW w:w="167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2066763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827"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65A159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12月</w:t>
            </w:r>
          </w:p>
        </w:tc>
        <w:tc>
          <w:tcPr>
            <w:tcW w:w="168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62F1956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r>
    </w:tbl>
    <w:p w14:paraId="3899C50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KPI指标：绩效考核及时完成率</w:t>
      </w:r>
    </w:p>
    <w:p w14:paraId="69DAACA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ascii="Segoe UI" w:hAnsi="Segoe UI" w:eastAsia="Segoe UI" w:cs="Segoe UI"/>
          <w:i w:val="0"/>
          <w:iCs w:val="0"/>
          <w:caps w:val="0"/>
          <w:color w:val="0F1115"/>
          <w:spacing w:val="0"/>
          <w:sz w:val="24"/>
          <w:szCs w:val="24"/>
          <w:shd w:val="clear" w:color="auto" w:fill="FFFFFF"/>
          <w:lang w:val="en-US" w:eastAsia="zh-CN"/>
        </w:rPr>
      </w:pPr>
      <w:r>
        <w:rPr>
          <w:rFonts w:hint="eastAsia" w:ascii="Segoe UI" w:hAnsi="Segoe UI" w:eastAsia="Segoe UI" w:cs="Segoe UI"/>
          <w:i w:val="0"/>
          <w:iCs w:val="0"/>
          <w:caps w:val="0"/>
          <w:color w:val="0F1115"/>
          <w:spacing w:val="0"/>
          <w:sz w:val="24"/>
          <w:szCs w:val="24"/>
          <w:shd w:val="clear" w:color="auto" w:fill="FFFFFF"/>
          <w:lang w:val="en-US" w:eastAsia="zh-CN"/>
        </w:rPr>
        <w:t>绩效考核及时完成率是反映绩效考核工作按时完成情况的量化指标，其计算公式为：绩效考核及时完成率 = (按时完成绩效考核的员工数 / 应参加绩效考核总人数) × 100%。目标值为 100%，按月度进行考核，责任部门为人力部。</w:t>
      </w:r>
    </w:p>
    <w:p w14:paraId="7FAF434E">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24" w:name="_Toc12560"/>
      <w:r>
        <w:rPr>
          <w:rFonts w:hint="eastAsia"/>
          <w:lang w:val="en-US" w:eastAsia="zh-CN"/>
        </w:rPr>
        <w:t>人员能力评定计划</w:t>
      </w:r>
      <w:bookmarkEnd w:id="24"/>
    </w:p>
    <w:p w14:paraId="59445D8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ascii="Segoe UI" w:hAnsi="Segoe UI" w:eastAsia="Segoe UI" w:cs="Segoe UI"/>
          <w:i w:val="0"/>
          <w:iCs w:val="0"/>
          <w:caps w:val="0"/>
          <w:color w:val="0F1115"/>
          <w:spacing w:val="0"/>
          <w:sz w:val="24"/>
          <w:szCs w:val="24"/>
          <w:shd w:val="clear" w:color="auto" w:fill="FFFFFF"/>
        </w:rPr>
      </w:pPr>
      <w:r>
        <w:rPr>
          <w:rFonts w:ascii="Segoe UI" w:hAnsi="Segoe UI" w:eastAsia="Segoe UI" w:cs="Segoe UI"/>
          <w:i w:val="0"/>
          <w:iCs w:val="0"/>
          <w:caps w:val="0"/>
          <w:color w:val="0F1115"/>
          <w:spacing w:val="0"/>
          <w:sz w:val="24"/>
          <w:szCs w:val="24"/>
          <w:shd w:val="clear" w:color="auto" w:fill="FFFFFF"/>
        </w:rPr>
        <w:t>为科学评估员工专业技能水平，识别能力短板，为岗位任职、晋升调薪、培训需求提供依据，特制定本技能评定计划。评定工作遵循“客观公正、注重实效、持续改进”的原则，采用笔试、实操、案例答辩相结合的方式进行。</w:t>
      </w:r>
    </w:p>
    <w:p w14:paraId="339707A2">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7</w:t>
      </w:r>
      <w:r>
        <w:rPr>
          <w:rFonts w:hint="eastAsia"/>
          <w:lang w:val="en-US" w:eastAsia="zh-CN"/>
        </w:rPr>
        <w:fldChar w:fldCharType="end"/>
      </w:r>
      <w:bookmarkStart w:id="25" w:name="_Toc7258"/>
      <w:r>
        <w:rPr>
          <w:rFonts w:hint="eastAsia"/>
          <w:lang w:val="en-US" w:eastAsia="zh-CN"/>
        </w:rPr>
        <w:t xml:space="preserve"> 2026年度人员能力评定周期表</w:t>
      </w:r>
      <w:bookmarkEnd w:id="25"/>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796"/>
        <w:gridCol w:w="1590"/>
        <w:gridCol w:w="1813"/>
        <w:gridCol w:w="1949"/>
        <w:gridCol w:w="1374"/>
      </w:tblGrid>
      <w:tr w14:paraId="6983568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796"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0D91D60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评定类型</w:t>
            </w:r>
          </w:p>
        </w:tc>
        <w:tc>
          <w:tcPr>
            <w:tcW w:w="159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04AAC71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评定周期</w:t>
            </w:r>
          </w:p>
        </w:tc>
        <w:tc>
          <w:tcPr>
            <w:tcW w:w="1813"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622CAD2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评定对象</w:t>
            </w:r>
          </w:p>
        </w:tc>
        <w:tc>
          <w:tcPr>
            <w:tcW w:w="194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1F8722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评定时间</w:t>
            </w:r>
          </w:p>
        </w:tc>
        <w:tc>
          <w:tcPr>
            <w:tcW w:w="1373"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5BBE391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责任部门</w:t>
            </w:r>
          </w:p>
        </w:tc>
      </w:tr>
      <w:tr w14:paraId="3896B8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E43781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半年度技能评定</w:t>
            </w:r>
          </w:p>
        </w:tc>
        <w:tc>
          <w:tcPr>
            <w:tcW w:w="159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F5899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每半年一次</w:t>
            </w:r>
          </w:p>
        </w:tc>
        <w:tc>
          <w:tcPr>
            <w:tcW w:w="181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DC9A08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全体员工</w:t>
            </w:r>
          </w:p>
        </w:tc>
        <w:tc>
          <w:tcPr>
            <w:tcW w:w="19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9F211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每年6月、12月</w:t>
            </w:r>
          </w:p>
        </w:tc>
        <w:tc>
          <w:tcPr>
            <w:tcW w:w="137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CFA7B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lang w:val="en-US"/>
              </w:rPr>
            </w:pPr>
            <w:r>
              <w:rPr>
                <w:rFonts w:hint="eastAsia" w:ascii="Segoe UI" w:hAnsi="Segoe UI" w:eastAsia="Segoe UI" w:cs="Segoe UI"/>
                <w:i w:val="0"/>
                <w:iCs w:val="0"/>
                <w:caps w:val="0"/>
                <w:snapToGrid w:val="0"/>
                <w:color w:val="000000"/>
                <w:spacing w:val="0"/>
                <w:kern w:val="0"/>
                <w:sz w:val="22"/>
                <w:szCs w:val="22"/>
                <w:lang w:val="en-US" w:eastAsia="zh-CN"/>
              </w:rPr>
              <w:t>人力部</w:t>
            </w:r>
          </w:p>
        </w:tc>
      </w:tr>
      <w:tr w14:paraId="60C00D1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820098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入职技能评定</w:t>
            </w:r>
          </w:p>
        </w:tc>
        <w:tc>
          <w:tcPr>
            <w:tcW w:w="159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3E1E6EB">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入职时</w:t>
            </w:r>
          </w:p>
        </w:tc>
        <w:tc>
          <w:tcPr>
            <w:tcW w:w="1813"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DEC3DB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新员工</w:t>
            </w:r>
          </w:p>
        </w:tc>
        <w:tc>
          <w:tcPr>
            <w:tcW w:w="194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13F03CF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试用期内</w:t>
            </w:r>
          </w:p>
        </w:tc>
        <w:tc>
          <w:tcPr>
            <w:tcW w:w="1373"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65BDA4B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运维部</w:t>
            </w:r>
          </w:p>
        </w:tc>
      </w:tr>
      <w:tr w14:paraId="77914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796"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FA6F77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晋升技能评定</w:t>
            </w:r>
          </w:p>
        </w:tc>
        <w:tc>
          <w:tcPr>
            <w:tcW w:w="159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C438B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晋升前</w:t>
            </w:r>
          </w:p>
        </w:tc>
        <w:tc>
          <w:tcPr>
            <w:tcW w:w="1813"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6643452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申请晋升人员</w:t>
            </w:r>
          </w:p>
        </w:tc>
        <w:tc>
          <w:tcPr>
            <w:tcW w:w="194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B0D14C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晋升评审前</w:t>
            </w:r>
          </w:p>
        </w:tc>
        <w:tc>
          <w:tcPr>
            <w:tcW w:w="1373"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37EC75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人力部</w:t>
            </w:r>
          </w:p>
        </w:tc>
      </w:tr>
    </w:tbl>
    <w:p w14:paraId="597AB635">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8</w:t>
      </w:r>
      <w:r>
        <w:rPr>
          <w:rFonts w:hint="eastAsia"/>
          <w:lang w:val="en-US" w:eastAsia="zh-CN"/>
        </w:rPr>
        <w:fldChar w:fldCharType="end"/>
      </w:r>
      <w:bookmarkStart w:id="26" w:name="_Toc22530"/>
      <w:r>
        <w:rPr>
          <w:rFonts w:hint="eastAsia"/>
          <w:lang w:val="en-US" w:eastAsia="zh-CN"/>
        </w:rPr>
        <w:t xml:space="preserve"> 2026年度人员技能等级划分表</w:t>
      </w:r>
      <w:bookmarkEnd w:id="26"/>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518"/>
        <w:gridCol w:w="1330"/>
        <w:gridCol w:w="5674"/>
      </w:tblGrid>
      <w:tr w14:paraId="7CAAB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518"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5F92302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技能等级</w:t>
            </w:r>
          </w:p>
        </w:tc>
        <w:tc>
          <w:tcPr>
            <w:tcW w:w="1330"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A77537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评估分数</w:t>
            </w:r>
          </w:p>
        </w:tc>
        <w:tc>
          <w:tcPr>
            <w:tcW w:w="5674"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7F48B25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定义</w:t>
            </w:r>
          </w:p>
        </w:tc>
      </w:tr>
      <w:tr w14:paraId="507656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6A0E3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A级（专家）</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7B3D1A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90-100分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E1FC14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能够引领技术方向，技术创新；技能优秀，可担任导师或备份人员</w:t>
            </w:r>
          </w:p>
        </w:tc>
      </w:tr>
      <w:tr w14:paraId="7169BF6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4DB5BA6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B级（高级）</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DFB634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80-89分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79A8D1A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能够解决疑难问题，指导他人；技能良好，可独立承担岗位工作</w:t>
            </w:r>
          </w:p>
        </w:tc>
      </w:tr>
      <w:tr w14:paraId="7AF299C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7E8BE980">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C级（中级）</w:t>
            </w:r>
          </w:p>
        </w:tc>
        <w:tc>
          <w:tcPr>
            <w:tcW w:w="1330"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121A0E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60-79分</w:t>
            </w:r>
          </w:p>
        </w:tc>
        <w:tc>
          <w:tcPr>
            <w:tcW w:w="5674"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D8FE5E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能够独立处理复杂问题；技能合格，需持续提升</w:t>
            </w:r>
          </w:p>
        </w:tc>
      </w:tr>
      <w:tr w14:paraId="64D3AF4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518"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10B79EA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D级（初级）</w:t>
            </w:r>
          </w:p>
        </w:tc>
        <w:tc>
          <w:tcPr>
            <w:tcW w:w="1330"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04A3106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60分以下</w:t>
            </w:r>
          </w:p>
        </w:tc>
        <w:tc>
          <w:tcPr>
            <w:tcW w:w="5674"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8BB9E33">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能够独立完成基础运维工作；技能不足，需参加专项培训</w:t>
            </w:r>
          </w:p>
        </w:tc>
      </w:tr>
    </w:tbl>
    <w:p w14:paraId="7D8629CA">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9</w:t>
      </w:r>
      <w:r>
        <w:rPr>
          <w:rFonts w:hint="eastAsia"/>
          <w:lang w:val="en-US" w:eastAsia="zh-CN"/>
        </w:rPr>
        <w:fldChar w:fldCharType="end"/>
      </w:r>
      <w:bookmarkStart w:id="27" w:name="_Toc30538"/>
      <w:r>
        <w:rPr>
          <w:rFonts w:hint="eastAsia"/>
          <w:lang w:val="en-US" w:eastAsia="zh-CN"/>
        </w:rPr>
        <w:t xml:space="preserve"> 2026年度人员技能评定内容表</w:t>
      </w:r>
      <w:bookmarkEnd w:id="27"/>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219"/>
        <w:gridCol w:w="999"/>
        <w:gridCol w:w="3641"/>
        <w:gridCol w:w="2663"/>
      </w:tblGrid>
      <w:tr w14:paraId="69D8E4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tblHeader/>
          <w:jc w:val="center"/>
        </w:trPr>
        <w:tc>
          <w:tcPr>
            <w:tcW w:w="1219"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4E22F0F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评定维度</w:t>
            </w:r>
          </w:p>
        </w:tc>
        <w:tc>
          <w:tcPr>
            <w:tcW w:w="999"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7A87DCF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权重</w:t>
            </w:r>
          </w:p>
        </w:tc>
        <w:tc>
          <w:tcPr>
            <w:tcW w:w="3641" w:type="dxa"/>
            <w:tcBorders>
              <w:top w:val="single" w:color="auto" w:sz="12" w:space="0"/>
              <w:left w:val="single" w:color="auto" w:sz="4" w:space="0"/>
              <w:bottom w:val="nil"/>
              <w:right w:val="nil"/>
            </w:tcBorders>
            <w:shd w:val="clear" w:color="auto" w:fill="auto"/>
            <w:tcMar>
              <w:top w:w="150" w:type="dxa"/>
              <w:left w:w="240" w:type="dxa"/>
              <w:bottom w:w="150" w:type="dxa"/>
              <w:right w:w="240" w:type="dxa"/>
            </w:tcMar>
            <w:vAlign w:val="center"/>
          </w:tcPr>
          <w:p w14:paraId="3CE694D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评定内容</w:t>
            </w:r>
          </w:p>
        </w:tc>
        <w:tc>
          <w:tcPr>
            <w:tcW w:w="2662"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22A5A0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评定方式</w:t>
            </w:r>
          </w:p>
        </w:tc>
      </w:tr>
      <w:tr w14:paraId="5C6D6CA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1B5DCF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专业知识</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427B928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30%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06A5FBE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岗位相关技术理论知识</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22F279C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笔试、面试</w:t>
            </w:r>
          </w:p>
        </w:tc>
      </w:tr>
      <w:tr w14:paraId="38DA92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3590205A">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操作技能</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F37B6E1">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40%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3133C8F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实际操作能力、故障处理能力</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03ED8A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实操考核、案例演练</w:t>
            </w:r>
          </w:p>
        </w:tc>
      </w:tr>
      <w:tr w14:paraId="07DC0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F2A1AF7">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问题解决</w:t>
            </w:r>
          </w:p>
        </w:tc>
        <w:tc>
          <w:tcPr>
            <w:tcW w:w="999"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298044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20%</w:t>
            </w:r>
          </w:p>
        </w:tc>
        <w:tc>
          <w:tcPr>
            <w:tcW w:w="3641" w:type="dxa"/>
            <w:tcBorders>
              <w:top w:val="single" w:color="auto" w:sz="4" w:space="0"/>
              <w:left w:val="single" w:color="auto" w:sz="4" w:space="0"/>
              <w:bottom w:val="nil"/>
              <w:right w:val="nil"/>
            </w:tcBorders>
            <w:shd w:val="clear" w:color="auto" w:fill="auto"/>
            <w:tcMar>
              <w:top w:w="150" w:type="dxa"/>
              <w:left w:w="240" w:type="dxa"/>
              <w:bottom w:w="150" w:type="dxa"/>
              <w:right w:w="240" w:type="dxa"/>
            </w:tcMar>
            <w:vAlign w:val="center"/>
          </w:tcPr>
          <w:p w14:paraId="5276A4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复杂问题分析、解决能力</w:t>
            </w:r>
          </w:p>
        </w:tc>
        <w:tc>
          <w:tcPr>
            <w:tcW w:w="2662"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3B046B6D">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案例答辩、工作成果</w:t>
            </w:r>
          </w:p>
        </w:tc>
      </w:tr>
      <w:tr w14:paraId="4C6163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219"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4114D3DE">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知识贡献</w:t>
            </w:r>
          </w:p>
        </w:tc>
        <w:tc>
          <w:tcPr>
            <w:tcW w:w="999"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331B59B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10%</w:t>
            </w:r>
          </w:p>
        </w:tc>
        <w:tc>
          <w:tcPr>
            <w:tcW w:w="3641" w:type="dxa"/>
            <w:tcBorders>
              <w:top w:val="single" w:color="auto" w:sz="4" w:space="0"/>
              <w:left w:val="single" w:color="auto" w:sz="4" w:space="0"/>
              <w:bottom w:val="single" w:color="auto" w:sz="12" w:space="0"/>
              <w:right w:val="nil"/>
            </w:tcBorders>
            <w:shd w:val="clear" w:color="auto" w:fill="auto"/>
            <w:tcMar>
              <w:top w:w="150" w:type="dxa"/>
              <w:left w:w="240" w:type="dxa"/>
              <w:bottom w:w="150" w:type="dxa"/>
              <w:right w:w="240" w:type="dxa"/>
            </w:tcMar>
            <w:vAlign w:val="center"/>
          </w:tcPr>
          <w:p w14:paraId="4B3BF4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知识库贡献、培训授课</w:t>
            </w:r>
          </w:p>
        </w:tc>
        <w:tc>
          <w:tcPr>
            <w:tcW w:w="2662"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5DDD17E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left"/>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知识库记录、培训记录</w:t>
            </w:r>
          </w:p>
        </w:tc>
      </w:tr>
    </w:tbl>
    <w:p w14:paraId="4322390E">
      <w:pPr>
        <w:pStyle w:val="32"/>
        <w:keepNext w:val="0"/>
        <w:keepLines w:val="0"/>
        <w:pageBreakBefore w:val="0"/>
        <w:widowControl w:val="0"/>
        <w:kinsoku w:val="0"/>
        <w:wordWrap/>
        <w:overflowPunct/>
        <w:topLinePunct w:val="0"/>
        <w:autoSpaceDE w:val="0"/>
        <w:autoSpaceDN w:val="0"/>
        <w:bidi w:val="0"/>
        <w:adjustRightInd w:val="0"/>
        <w:snapToGrid w:val="0"/>
        <w:ind w:left="0" w:leftChars="0" w:firstLine="0" w:firstLineChars="0"/>
        <w:jc w:val="center"/>
        <w:textAlignment w:val="baseline"/>
        <w:rPr>
          <w:rFonts w:hint="eastAsia"/>
          <w:lang w:val="en-US" w:eastAsia="zh-CN"/>
        </w:rPr>
      </w:pPr>
      <w:r>
        <w:rPr>
          <w:rFonts w:hint="eastAsia"/>
          <w:lang w:val="en-US" w:eastAsia="zh-CN"/>
        </w:rPr>
        <w:t xml:space="preserve">表 </w:t>
      </w:r>
      <w:r>
        <w:rPr>
          <w:rFonts w:hint="default"/>
          <w:lang w:val="en-US" w:eastAsia="zh-CN"/>
        </w:rPr>
        <w:fldChar w:fldCharType="begin"/>
      </w:r>
      <w:r>
        <w:rPr>
          <w:rFonts w:hint="default"/>
          <w:lang w:val="en-US" w:eastAsia="zh-CN"/>
        </w:rPr>
        <w:instrText xml:space="preserve"> </w:instrText>
      </w:r>
      <w:r>
        <w:instrText xml:space="preserve">STYLEREF </w:instrText>
      </w:r>
      <w:r>
        <w:rPr>
          <w:rFonts w:hint="eastAsia"/>
          <w:lang w:val="en-US" w:eastAsia="zh-CN"/>
        </w:rPr>
        <w:instrText xml:space="preserve">"柴_标题1"\n</w:instrText>
      </w:r>
      <w:r>
        <w:instrText xml:space="preserve"> \s</w:instrText>
      </w:r>
      <w:r>
        <w:rPr>
          <w:rFonts w:hint="default"/>
          <w:lang w:val="en-US" w:eastAsia="zh-CN"/>
        </w:rPr>
        <w:instrText xml:space="preserve"> </w:instrText>
      </w:r>
      <w:r>
        <w:rPr>
          <w:rFonts w:hint="eastAsia"/>
          <w:lang w:val="en-US" w:eastAsia="zh-CN"/>
        </w:rPr>
        <w:instrText xml:space="preserve">* Charformat</w:instrText>
      </w:r>
      <w:r>
        <w:rPr>
          <w:rFonts w:hint="default"/>
          <w:lang w:val="en-US" w:eastAsia="zh-CN"/>
        </w:rPr>
        <w:fldChar w:fldCharType="separate"/>
      </w:r>
      <w:r>
        <w:rPr>
          <w:rFonts w:hint="default"/>
          <w:lang w:val="en-US" w:eastAsia="zh-CN"/>
        </w:rPr>
        <w:t>3</w:t>
      </w:r>
      <w:r>
        <w:rPr>
          <w:rFonts w:hint="default"/>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SEQ 表 \* ARABIC  \s 1 </w:instrText>
      </w:r>
      <w:r>
        <w:rPr>
          <w:rFonts w:hint="eastAsia"/>
          <w:lang w:val="en-US" w:eastAsia="zh-CN"/>
        </w:rPr>
        <w:fldChar w:fldCharType="separate"/>
      </w:r>
      <w:r>
        <w:rPr>
          <w:rFonts w:hint="eastAsia"/>
          <w:lang w:val="en-US" w:eastAsia="zh-CN"/>
        </w:rPr>
        <w:t>10</w:t>
      </w:r>
      <w:r>
        <w:rPr>
          <w:rFonts w:hint="eastAsia"/>
          <w:lang w:val="en-US" w:eastAsia="zh-CN"/>
        </w:rPr>
        <w:fldChar w:fldCharType="end"/>
      </w:r>
      <w:bookmarkStart w:id="28" w:name="_Toc5321"/>
      <w:r>
        <w:rPr>
          <w:rFonts w:hint="eastAsia"/>
          <w:lang w:val="en-US" w:eastAsia="zh-CN"/>
        </w:rPr>
        <w:t xml:space="preserve"> 2026年度人员技能评定结果应用表</w:t>
      </w:r>
      <w:bookmarkEnd w:id="28"/>
    </w:p>
    <w:tbl>
      <w:tblPr>
        <w:tblStyle w:val="23"/>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281"/>
        <w:gridCol w:w="6241"/>
      </w:tblGrid>
      <w:tr w14:paraId="76D37B3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281" w:type="dxa"/>
            <w:tcBorders>
              <w:top w:val="single" w:color="auto" w:sz="12" w:space="0"/>
              <w:left w:val="single" w:color="auto" w:sz="12" w:space="0"/>
              <w:bottom w:val="nil"/>
              <w:right w:val="nil"/>
            </w:tcBorders>
            <w:shd w:val="clear" w:color="auto" w:fill="auto"/>
            <w:tcMar>
              <w:top w:w="150" w:type="dxa"/>
              <w:left w:w="-1" w:type="dxa"/>
              <w:bottom w:w="150" w:type="dxa"/>
              <w:right w:w="240" w:type="dxa"/>
            </w:tcMar>
            <w:vAlign w:val="center"/>
          </w:tcPr>
          <w:p w14:paraId="72D86A62">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应用方向</w:t>
            </w:r>
          </w:p>
        </w:tc>
        <w:tc>
          <w:tcPr>
            <w:tcW w:w="6241" w:type="dxa"/>
            <w:tcBorders>
              <w:top w:val="single" w:color="auto" w:sz="12" w:space="0"/>
              <w:left w:val="single" w:color="auto" w:sz="4" w:space="0"/>
              <w:bottom w:val="nil"/>
              <w:right w:val="single" w:color="auto" w:sz="12" w:space="0"/>
            </w:tcBorders>
            <w:shd w:val="clear" w:color="auto" w:fill="auto"/>
            <w:tcMar>
              <w:top w:w="150" w:type="dxa"/>
              <w:left w:w="240" w:type="dxa"/>
              <w:bottom w:w="150" w:type="dxa"/>
              <w:right w:w="240" w:type="dxa"/>
            </w:tcMar>
            <w:vAlign w:val="center"/>
          </w:tcPr>
          <w:p w14:paraId="37AD3895">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b/>
                <w:i w:val="0"/>
                <w:iCs w:val="0"/>
                <w:caps w:val="0"/>
                <w:color w:val="0F1115"/>
                <w:spacing w:val="0"/>
                <w:sz w:val="22"/>
                <w:szCs w:val="22"/>
              </w:rPr>
            </w:pPr>
            <w:r>
              <w:rPr>
                <w:rFonts w:hint="default" w:ascii="Segoe UI" w:hAnsi="Segoe UI" w:eastAsia="Segoe UI" w:cs="Segoe UI"/>
                <w:b/>
                <w:i w:val="0"/>
                <w:iCs w:val="0"/>
                <w:caps w:val="0"/>
                <w:snapToGrid w:val="0"/>
                <w:color w:val="000000"/>
                <w:spacing w:val="0"/>
                <w:kern w:val="0"/>
                <w:sz w:val="22"/>
                <w:szCs w:val="22"/>
                <w:lang w:val="en-US" w:eastAsia="zh-CN"/>
              </w:rPr>
              <w:t>具体方式</w:t>
            </w:r>
          </w:p>
        </w:tc>
      </w:tr>
      <w:tr w14:paraId="2BB171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68C409E6">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岗位任职资格</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5A87D23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A/B级可担任关键岗位，C/D级需持续提升</w:t>
            </w:r>
          </w:p>
        </w:tc>
      </w:tr>
      <w:tr w14:paraId="3EF2119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5D23925F">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绩效奖金调节</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1F01C138">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技能等级与绩效奖金系数挂钩</w:t>
            </w:r>
          </w:p>
        </w:tc>
      </w:tr>
      <w:tr w14:paraId="51A6E1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nil"/>
              <w:right w:val="nil"/>
            </w:tcBorders>
            <w:shd w:val="clear" w:color="auto" w:fill="auto"/>
            <w:tcMar>
              <w:top w:w="150" w:type="dxa"/>
              <w:left w:w="-1" w:type="dxa"/>
              <w:bottom w:w="150" w:type="dxa"/>
              <w:right w:w="240" w:type="dxa"/>
            </w:tcMar>
            <w:vAlign w:val="center"/>
          </w:tcPr>
          <w:p w14:paraId="143CA3E4">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培训需求识别</w:t>
            </w:r>
          </w:p>
        </w:tc>
        <w:tc>
          <w:tcPr>
            <w:tcW w:w="6241" w:type="dxa"/>
            <w:tcBorders>
              <w:top w:val="single" w:color="auto" w:sz="4" w:space="0"/>
              <w:left w:val="single" w:color="auto" w:sz="4" w:space="0"/>
              <w:bottom w:val="nil"/>
              <w:right w:val="single" w:color="auto" w:sz="12" w:space="0"/>
            </w:tcBorders>
            <w:shd w:val="clear" w:color="auto" w:fill="auto"/>
            <w:tcMar>
              <w:top w:w="150" w:type="dxa"/>
              <w:left w:w="240" w:type="dxa"/>
              <w:bottom w:w="150" w:type="dxa"/>
              <w:right w:w="-1" w:type="dxa"/>
            </w:tcMar>
            <w:vAlign w:val="center"/>
          </w:tcPr>
          <w:p w14:paraId="4A7FD209">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D级人员需参加专项培训</w:t>
            </w:r>
          </w:p>
        </w:tc>
      </w:tr>
      <w:tr w14:paraId="716CE2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281" w:type="dxa"/>
            <w:tcBorders>
              <w:top w:val="single" w:color="auto" w:sz="4" w:space="0"/>
              <w:left w:val="single" w:color="auto" w:sz="12" w:space="0"/>
              <w:bottom w:val="single" w:color="auto" w:sz="12" w:space="0"/>
              <w:right w:val="nil"/>
            </w:tcBorders>
            <w:shd w:val="clear" w:color="auto" w:fill="auto"/>
            <w:tcMar>
              <w:top w:w="150" w:type="dxa"/>
              <w:left w:w="-1" w:type="dxa"/>
              <w:bottom w:w="150" w:type="dxa"/>
              <w:right w:w="240" w:type="dxa"/>
            </w:tcMar>
            <w:vAlign w:val="center"/>
          </w:tcPr>
          <w:p w14:paraId="73832CA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备份人员选拔</w:t>
            </w:r>
          </w:p>
        </w:tc>
        <w:tc>
          <w:tcPr>
            <w:tcW w:w="6241" w:type="dxa"/>
            <w:tcBorders>
              <w:top w:val="single" w:color="auto" w:sz="4" w:space="0"/>
              <w:left w:val="single" w:color="auto" w:sz="4" w:space="0"/>
              <w:bottom w:val="single" w:color="auto" w:sz="12" w:space="0"/>
              <w:right w:val="single" w:color="auto" w:sz="12" w:space="0"/>
            </w:tcBorders>
            <w:shd w:val="clear" w:color="auto" w:fill="auto"/>
            <w:tcMar>
              <w:top w:w="150" w:type="dxa"/>
              <w:left w:w="240" w:type="dxa"/>
              <w:bottom w:w="150" w:type="dxa"/>
              <w:right w:w="-1" w:type="dxa"/>
            </w:tcMar>
            <w:vAlign w:val="center"/>
          </w:tcPr>
          <w:p w14:paraId="039D115C">
            <w:pPr>
              <w:keepNext w:val="0"/>
              <w:keepLines w:val="0"/>
              <w:pageBreakBefore w:val="0"/>
              <w:widowControl w:val="0"/>
              <w:suppressLineNumbers w:val="0"/>
              <w:kinsoku w:val="0"/>
              <w:wordWrap/>
              <w:overflowPunct/>
              <w:topLinePunct w:val="0"/>
              <w:autoSpaceDE w:val="0"/>
              <w:autoSpaceDN w:val="0"/>
              <w:bidi w:val="0"/>
              <w:adjustRightInd w:val="0"/>
              <w:snapToGrid w:val="0"/>
              <w:spacing w:line="240" w:lineRule="auto"/>
              <w:ind w:left="0" w:leftChars="0" w:right="0" w:rightChars="0" w:firstLine="0" w:firstLineChars="0"/>
              <w:jc w:val="center"/>
              <w:textAlignment w:val="baseline"/>
              <w:rPr>
                <w:rFonts w:hint="default" w:ascii="Segoe UI" w:hAnsi="Segoe UI" w:eastAsia="Segoe UI" w:cs="Segoe UI"/>
                <w:i w:val="0"/>
                <w:iCs w:val="0"/>
                <w:caps w:val="0"/>
                <w:color w:val="0F1115"/>
                <w:spacing w:val="0"/>
                <w:sz w:val="22"/>
                <w:szCs w:val="22"/>
              </w:rPr>
            </w:pPr>
            <w:r>
              <w:rPr>
                <w:rFonts w:hint="default" w:ascii="Segoe UI" w:hAnsi="Segoe UI" w:eastAsia="Segoe UI" w:cs="Segoe UI"/>
                <w:i w:val="0"/>
                <w:iCs w:val="0"/>
                <w:caps w:val="0"/>
                <w:snapToGrid w:val="0"/>
                <w:color w:val="000000"/>
                <w:spacing w:val="0"/>
                <w:kern w:val="0"/>
                <w:sz w:val="22"/>
                <w:szCs w:val="22"/>
                <w:lang w:val="en-US" w:eastAsia="zh-CN"/>
              </w:rPr>
              <w:t>A/B级人员优先作为关键岗位备份</w:t>
            </w:r>
          </w:p>
        </w:tc>
      </w:tr>
    </w:tbl>
    <w:p w14:paraId="5ABA51D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ascii="Segoe UI" w:hAnsi="Segoe UI" w:eastAsia="Segoe UI" w:cs="Segoe UI"/>
          <w:i w:val="0"/>
          <w:iCs w:val="0"/>
          <w:caps w:val="0"/>
          <w:color w:val="0F1115"/>
          <w:spacing w:val="0"/>
          <w:sz w:val="24"/>
          <w:szCs w:val="24"/>
          <w:shd w:val="clear" w:color="auto" w:fill="FFFFFF"/>
          <w:lang w:val="en-US" w:eastAsia="zh-CN"/>
        </w:rPr>
      </w:pPr>
      <w:r>
        <w:rPr>
          <w:rFonts w:hint="default" w:ascii="Segoe UI" w:hAnsi="Segoe UI" w:eastAsia="Segoe UI" w:cs="Segoe UI"/>
          <w:i w:val="0"/>
          <w:iCs w:val="0"/>
          <w:caps w:val="0"/>
          <w:color w:val="0F1115"/>
          <w:spacing w:val="0"/>
          <w:sz w:val="24"/>
          <w:szCs w:val="24"/>
          <w:shd w:val="clear" w:color="auto" w:fill="FFFFFF"/>
          <w:lang w:val="en-US" w:eastAsia="zh-CN"/>
        </w:rPr>
        <w:t>技能评价覆盖率是反映员工技能评定工作覆盖广度的量化指标，其计算公式为：技能评价覆盖率 = (实际参加技能评价的员工数 / 应参加技能评价员工总数) × 100%。目标值为 100%，按半年度进行考核（每年6月、12月），责任部门为</w:t>
      </w:r>
      <w:r>
        <w:rPr>
          <w:rFonts w:hint="eastAsia" w:ascii="Segoe UI" w:hAnsi="Segoe UI" w:eastAsia="Segoe UI" w:cs="Segoe UI"/>
          <w:i w:val="0"/>
          <w:iCs w:val="0"/>
          <w:caps w:val="0"/>
          <w:color w:val="0F1115"/>
          <w:spacing w:val="0"/>
          <w:sz w:val="24"/>
          <w:szCs w:val="24"/>
          <w:shd w:val="clear" w:color="auto" w:fill="FFFFFF"/>
          <w:lang w:val="en-US" w:eastAsia="zh-CN"/>
        </w:rPr>
        <w:t>人力部</w:t>
      </w:r>
      <w:r>
        <w:rPr>
          <w:rFonts w:hint="default" w:ascii="Segoe UI" w:hAnsi="Segoe UI" w:eastAsia="Segoe UI" w:cs="Segoe UI"/>
          <w:i w:val="0"/>
          <w:iCs w:val="0"/>
          <w:caps w:val="0"/>
          <w:color w:val="0F1115"/>
          <w:spacing w:val="0"/>
          <w:sz w:val="24"/>
          <w:szCs w:val="24"/>
          <w:shd w:val="clear" w:color="auto" w:fill="FFFFFF"/>
          <w:lang w:val="en-US" w:eastAsia="zh-CN"/>
        </w:rPr>
        <w:t>。新员工入职技能评定、晋升技能评定另行统计，不计入半年度覆盖率考核。</w:t>
      </w:r>
    </w:p>
    <w:p w14:paraId="6DCA9DEC">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29" w:name="_Toc23938"/>
      <w:r>
        <w:rPr>
          <w:rFonts w:hint="eastAsia"/>
          <w:lang w:val="en-US" w:eastAsia="zh-CN"/>
        </w:rPr>
        <w:t>资源管理规划</w:t>
      </w:r>
      <w:bookmarkEnd w:id="29"/>
    </w:p>
    <w:p w14:paraId="41F1E9D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为确保运维服务能力的持续提升，2026年公司将从运维工具、服务知识、服务台、备件库、最终软件库、服务数据六个方面加强资源管理，为运维服务提供坚实的资源保障。</w:t>
      </w:r>
    </w:p>
    <w:p w14:paraId="16F83D6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0" w:name="_Toc19749"/>
      <w:r>
        <w:rPr>
          <w:rFonts w:hint="default"/>
          <w:lang w:val="en-US" w:eastAsia="zh-CN"/>
        </w:rPr>
        <w:t>运维工具管理</w:t>
      </w:r>
      <w:bookmarkEnd w:id="30"/>
    </w:p>
    <w:p w14:paraId="385F6A2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工具管理制度》，公司目前使用的运维工具主要包括iTop运维管理平台和运维监控平台。iTop平台集成了服务台、事件管理、问题管理、变更管理、配置管理、服务知识等功能模块，实现了运维流程的数字化管理；运维监控平台实现了对服务器、网络设备、数据库、应用性能等的全面监控。</w:t>
      </w:r>
    </w:p>
    <w:p w14:paraId="03302E5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运维工具管理的主要工作包括：研发部负责根据运维业务需求，持续优化监控平台功能，2026年重点完成数据库监控模块的研发，实现对MySQL、Redis等数据库的全面监控及慢SQL分析功能；运维部经理每年度组织一次运维工具使用效果评估，形成《运维工具</w:t>
      </w:r>
      <w:r>
        <w:rPr>
          <w:rFonts w:hint="eastAsia"/>
          <w:lang w:val="en-US" w:eastAsia="zh-CN"/>
        </w:rPr>
        <w:t>自评估</w:t>
      </w:r>
      <w:r>
        <w:rPr>
          <w:rFonts w:hint="default"/>
          <w:lang w:val="en-US" w:eastAsia="zh-CN"/>
        </w:rPr>
        <w:t>报告》，从工具覆盖度、使用效率、用户满意度等方面进行评估，识别改进点并推动优化；研发部负责编制和维护运维工具操作手册，确保操作人员熟练掌握工具使用方法，新工具上线或版本升级时，及时组织使用培训；通过工具使用数据的统计分析，评估工具对运维效率的实际提升效果，为工具优化和选型提供数据支撑。</w:t>
      </w:r>
    </w:p>
    <w:p w14:paraId="46E9973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KPI指标：运维工具评审次数</w:t>
      </w:r>
    </w:p>
    <w:p w14:paraId="4448857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运维工具评审次数是反映运维工具使用效果定期评估执行情况的量化指标。</w:t>
      </w:r>
      <w:r>
        <w:rPr>
          <w:rFonts w:hint="eastAsia"/>
          <w:lang w:val="en-US" w:eastAsia="zh-CN"/>
        </w:rPr>
        <w:t>计算方式为：</w:t>
      </w:r>
      <w:r>
        <w:t>对运维工具使用效果的评审次数</w:t>
      </w:r>
      <w:r>
        <w:rPr>
          <w:rFonts w:hint="eastAsia"/>
          <w:lang w:eastAsia="zh-CN"/>
        </w:rPr>
        <w:t>。</w:t>
      </w:r>
      <w:r>
        <w:rPr>
          <w:rFonts w:hint="default"/>
          <w:lang w:val="en-US" w:eastAsia="zh-CN"/>
        </w:rPr>
        <w:t>目标值为 ≥ 1次，按年度进行考核，责任部门为运维部。</w:t>
      </w:r>
    </w:p>
    <w:p w14:paraId="5B734363">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1" w:name="_Toc9862"/>
      <w:r>
        <w:rPr>
          <w:rFonts w:hint="default"/>
          <w:lang w:val="en-US" w:eastAsia="zh-CN"/>
        </w:rPr>
        <w:t>服务知识管理</w:t>
      </w:r>
      <w:bookmarkEnd w:id="31"/>
    </w:p>
    <w:p w14:paraId="4807E02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根据《运维服务服务知识管理制度》，公司服务知识由运维部主导管理，负责知识入库审批、知识质量监督与权限管理。</w:t>
      </w:r>
    </w:p>
    <w:p w14:paraId="1E92806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知识管理的主要工作包括：建立知识的全生命周期管理机制，严格执行知识提交、审批、发布、更新、删除的标准化流程；将事件处理、问题分析中的典型解决方案录入服务知识库，形成“事件→问题→知识”的闭环管理，服务台在处理事件时可快速检索知识库，提高一线解决率；按照服务知识管理制度的激励措施，对积极贡献知识的员工给予积分奖励和年度评优倾斜，鼓励员工主动沉淀经验、分享知识；每年度组织一次服务知识使用培训，提高运维人员对知识库的使用熟练度，确保知识库得到充分利用。</w:t>
      </w:r>
    </w:p>
    <w:p w14:paraId="16873AA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14:paraId="6E669A7D">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新增知识条目</w:t>
      </w:r>
    </w:p>
    <w:p w14:paraId="43F22AC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新增知识条目是反映知识库内容更新和积累情况的量化指标。</w:t>
      </w:r>
      <w:r>
        <w:rPr>
          <w:rFonts w:hint="eastAsia"/>
          <w:lang w:val="en-US" w:eastAsia="zh-CN"/>
        </w:rPr>
        <w:t>计算方式为：</w:t>
      </w:r>
      <w:r>
        <w:rPr>
          <w:rFonts w:hint="default"/>
          <w:lang w:val="en-US" w:eastAsia="zh-CN"/>
        </w:rPr>
        <w:t>每月度知识库中新增有效知识条目数</w:t>
      </w:r>
      <w:r>
        <w:rPr>
          <w:rFonts w:hint="eastAsia"/>
          <w:lang w:val="en-US" w:eastAsia="zh-CN"/>
        </w:rPr>
        <w:t>。</w:t>
      </w:r>
      <w:r>
        <w:rPr>
          <w:rFonts w:hint="default"/>
          <w:lang w:val="en-US" w:eastAsia="zh-CN"/>
        </w:rPr>
        <w:t>目标值为 ≥ 5条，按月度进行考核，责任部门为运维部，。</w:t>
      </w:r>
    </w:p>
    <w:p w14:paraId="20BDB61A">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服务知识使用率</w:t>
      </w:r>
    </w:p>
    <w:p w14:paraId="05910DA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服务知识使用率是反映知识库被运维人员使用频率的量化指标，其计算公式为：服务知识使用率 = (使用</w:t>
      </w:r>
      <w:r>
        <w:rPr>
          <w:rFonts w:hint="eastAsia"/>
          <w:lang w:val="en-US" w:eastAsia="zh-CN"/>
        </w:rPr>
        <w:t>人数</w:t>
      </w:r>
      <w:r>
        <w:rPr>
          <w:rFonts w:hint="default"/>
          <w:lang w:val="en-US" w:eastAsia="zh-CN"/>
        </w:rPr>
        <w:t xml:space="preserve"> / 应</w:t>
      </w:r>
      <w:r>
        <w:rPr>
          <w:rFonts w:hint="eastAsia"/>
          <w:lang w:val="en-US" w:eastAsia="zh-CN"/>
        </w:rPr>
        <w:t>使用人数</w:t>
      </w:r>
      <w:r>
        <w:rPr>
          <w:rFonts w:hint="default"/>
          <w:lang w:val="en-US" w:eastAsia="zh-CN"/>
        </w:rPr>
        <w:t>) × 100%。目标值为 ≥ 80%，按季度进行考核，责任部门为运维部。</w:t>
      </w:r>
    </w:p>
    <w:p w14:paraId="7359F78F">
      <w:pPr>
        <w:pStyle w:val="32"/>
        <w:keepNext w:val="0"/>
        <w:keepLines w:val="0"/>
        <w:pageBreakBefore w:val="0"/>
        <w:widowControl w:val="0"/>
        <w:numPr>
          <w:ilvl w:val="0"/>
          <w:numId w:val="3"/>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知识采纳率</w:t>
      </w:r>
    </w:p>
    <w:p w14:paraId="7F56A7A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知识采纳率是反映知识库内容质量和实用性的量化指标，其计算公式为：知识采纳率 = (采纳知识数 / 提交知识数) × 100%。目标值为 ≥ 70%，按季度进行考核，责任部门为运维部。</w:t>
      </w:r>
    </w:p>
    <w:p w14:paraId="0297194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2" w:name="_Toc19451"/>
      <w:r>
        <w:rPr>
          <w:rFonts w:hint="default"/>
          <w:lang w:val="en-US" w:eastAsia="zh-CN"/>
        </w:rPr>
        <w:t>服务台管理</w:t>
      </w:r>
      <w:bookmarkEnd w:id="32"/>
    </w:p>
    <w:p w14:paraId="78BD079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根据《运维服务服务台管理制度》，服务台是公司运维服务的统一入口，设立统一服务热线，提供7×24小时不间断服务。</w:t>
      </w:r>
    </w:p>
    <w:p w14:paraId="11BB77D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台管理的主要工作包括：所有客户服务请求、故障报修、咨询投诉均通过服务台统一受理，杜绝客户直接联系现场工程师的情况，确保服务过程可记录、可追溯；严格按照“报障受理→分析判断→解决事件→工单关闭→录入服务知识→客户回访”的标准化流程执行，确保每个事件从受理到关闭的全过程闭环管理；每年度组织服务台专项培训，提升服务台人员的沟通技巧和问题判断能力；运维部经理定期填写《服务台服务质量考核表》，从响应及时性、服务态度、交付物质量三个维度进行考核，考核结果计入个人绩效；每月统计服务台请求关闭率、接通率、客户满意度等关键指标，分析服务台运行情况，发现异常及时改进。</w:t>
      </w:r>
    </w:p>
    <w:p w14:paraId="3EC4B4D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r>
        <w:rPr>
          <w:rFonts w:hint="eastAsia"/>
          <w:lang w:val="en-US" w:eastAsia="zh-CN"/>
        </w:rPr>
        <w:t>：</w:t>
      </w:r>
    </w:p>
    <w:p w14:paraId="40C16758">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服务台请求关闭率</w:t>
      </w:r>
    </w:p>
    <w:p w14:paraId="5295681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服务台请求关闭率是反映服务台事件处理能力的量化指标，其计算公式为：服务台请求关闭率 = (服务台请求关闭数量 / 服务记录服务请求数量) × 100%。目标值为 ≥ 95%，按月度进行考核，责任部门为运维部。</w:t>
      </w:r>
    </w:p>
    <w:p w14:paraId="4F8B84F7">
      <w:pPr>
        <w:pStyle w:val="32"/>
        <w:keepNext w:val="0"/>
        <w:keepLines w:val="0"/>
        <w:pageBreakBefore w:val="0"/>
        <w:widowControl w:val="0"/>
        <w:numPr>
          <w:ilvl w:val="0"/>
          <w:numId w:val="4"/>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服务台接通率</w:t>
      </w:r>
    </w:p>
    <w:p w14:paraId="395F74D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服务台接通率是反映服务台电话服务可用性的量化指标，其计算公式为：服务台接通率 = (接通电话数 / 总来电数) × 100%。目标值为 ≥ 98%，按月度进行考核，责任部门为运维部。</w:t>
      </w:r>
    </w:p>
    <w:p w14:paraId="2AB134AD">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3" w:name="_Toc1920"/>
      <w:r>
        <w:rPr>
          <w:rFonts w:hint="default"/>
          <w:lang w:val="en-US" w:eastAsia="zh-CN"/>
        </w:rPr>
        <w:t>备件库管理</w:t>
      </w:r>
      <w:bookmarkEnd w:id="33"/>
    </w:p>
    <w:p w14:paraId="72BD08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根据《运维服务备件库管理制度》，公司备件库由</w:t>
      </w:r>
      <w:r>
        <w:rPr>
          <w:rFonts w:hint="eastAsia"/>
          <w:lang w:val="en-US" w:eastAsia="zh-CN"/>
        </w:rPr>
        <w:t>备件库</w:t>
      </w:r>
      <w:r>
        <w:rPr>
          <w:rFonts w:hint="default"/>
          <w:lang w:val="en-US" w:eastAsia="zh-CN"/>
        </w:rPr>
        <w:t>负责管理，遵循“统一管理、集中调配”的原则。</w:t>
      </w:r>
    </w:p>
    <w:p w14:paraId="41977DC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备件库管理的主要工作包括：根据运维服务目录和SLA要求，制定备件储备规划，明确关键备件的安全库存数量，对于常用备件建立最低库存预警机制，低于安全库存时及时补库；所有备件入库前均需经过验收和功能性测试，确保备件质量合格，出库需凭审批单办理，确保账实相符，备件库专员每月对库存进行盘点，确保库存准确率；每月对库存备件按30%比例进行抽检，确保备件性能符合要求，对检测中发现问题的备件，及时送修或报废处理；根据SLA要求建立备件响应分级机制，确保在故障发生时能够快速调配备件。</w:t>
      </w:r>
    </w:p>
    <w:p w14:paraId="29CF111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14:paraId="41BFDD71">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备件可用率</w:t>
      </w:r>
    </w:p>
    <w:p w14:paraId="4FC9CE8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备件可用率是反映库存备件质量状况的量化指标，其计算公式为：备件可用率 = (合格可用备件数量 / 总数量) × 100%。目标值为 ≥ 95%，按季度进行考核，责任部门为</w:t>
      </w:r>
      <w:r>
        <w:rPr>
          <w:rFonts w:hint="eastAsia"/>
          <w:lang w:val="en-US" w:eastAsia="zh-CN"/>
        </w:rPr>
        <w:t>运维部</w:t>
      </w:r>
      <w:r>
        <w:rPr>
          <w:rFonts w:hint="default"/>
          <w:lang w:val="en-US" w:eastAsia="zh-CN"/>
        </w:rPr>
        <w:t>。</w:t>
      </w:r>
    </w:p>
    <w:p w14:paraId="69EF7F97">
      <w:pPr>
        <w:pStyle w:val="32"/>
        <w:keepNext w:val="0"/>
        <w:keepLines w:val="0"/>
        <w:pageBreakBefore w:val="0"/>
        <w:widowControl w:val="0"/>
        <w:numPr>
          <w:ilvl w:val="0"/>
          <w:numId w:val="5"/>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备件库存准确率</w:t>
      </w:r>
    </w:p>
    <w:p w14:paraId="557A33A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备件库存准确率是反映备件库存账实一致性的量化指标，其计算公式为：备件库存准确率 = (账实相符数量 / 盘点数量) × 100%。目标值为 100%，按月度进行考核，责任部门为</w:t>
      </w:r>
      <w:r>
        <w:rPr>
          <w:rFonts w:hint="eastAsia"/>
          <w:lang w:val="en-US" w:eastAsia="zh-CN"/>
        </w:rPr>
        <w:t>运维部</w:t>
      </w:r>
      <w:r>
        <w:rPr>
          <w:rFonts w:hint="default"/>
          <w:lang w:val="en-US" w:eastAsia="zh-CN"/>
        </w:rPr>
        <w:t>。</w:t>
      </w:r>
    </w:p>
    <w:p w14:paraId="1A739B0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4" w:name="_Toc20270"/>
      <w:r>
        <w:rPr>
          <w:rFonts w:hint="default"/>
          <w:lang w:val="en-US" w:eastAsia="zh-CN"/>
        </w:rPr>
        <w:t>最终软件库管理</w:t>
      </w:r>
      <w:bookmarkEnd w:id="34"/>
    </w:p>
    <w:p w14:paraId="1F93601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根据《运维服务最终软件库管理制度》，公司软件库由研发部负责管理，对运维过程中使用的各类软件进行统一存储、版本管理和授权管控。</w:t>
      </w:r>
    </w:p>
    <w:p w14:paraId="6214D4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最终软件库管理的主要工作包括：所有软件入库前需经过安全检测和完整性验证，确保软件来源可靠、内容完整，软件安装包、授权文件、技术文档统一归档存放；建立软件版本基线，对正式版本、测试版本进行分类管理，版本更新需经过测试验证后方可入库，确保生产环境使用的软件版本与软件库保持一致；所有商业软件授权在软件库中统一登记，按照授权数量和使用范围进行管控，每季度对授权使用情况进行审计，确保软件使用合规；每月对软件库进行盘点，核对软件资产清单，确保软件入库完整率达标。</w:t>
      </w:r>
    </w:p>
    <w:p w14:paraId="56EE77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KPI指标：软件入库完整率</w:t>
      </w:r>
    </w:p>
    <w:p w14:paraId="59DB9CA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软件入库完整率是反映软件资产登记完整性的量化指标，其计算公式为：软件入库完整率 = (已登记入库的软件数 / 应登记入库的软件总数) × 100%。目标值为 100%，按半年度进行考核，责任部门为研发部。</w:t>
      </w:r>
    </w:p>
    <w:p w14:paraId="75EFEDE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5" w:name="_Toc20387"/>
      <w:r>
        <w:rPr>
          <w:rFonts w:hint="default"/>
          <w:lang w:val="en-US" w:eastAsia="zh-CN"/>
        </w:rPr>
        <w:t>服务数据管理</w:t>
      </w:r>
      <w:bookmarkEnd w:id="35"/>
    </w:p>
    <w:p w14:paraId="3EE5646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根据《运维服务服务数据管理制度》，公司服务数据由运维部主导管理，覆盖服务数据的分类、收集、备份、加密、恢复的全生命周期。</w:t>
      </w:r>
    </w:p>
    <w:p w14:paraId="1D26E05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服务数据管理的主要工作包括：运维工单数据每日全量备份，配置管理数据每周全量备份，监控数据每月增量备份，备份数据本地和云端双存储，确保数据安全；每半年组织一次数据恢复试验，验证备份数据的可用性和完整性，确保在数据丢失时能够快速恢复；对客户敏感数据、系统核心配置等高密级数据实施存储加密和传输加密，使用经国家密码管理部门认可的加密产品，确保数据安全；定期对运维工单数据、监控数据等进行分析，识别服务趋势和潜在问题，为服务改进提供数据支撑。</w:t>
      </w:r>
    </w:p>
    <w:p w14:paraId="195C0B6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KPI指标：</w:t>
      </w:r>
    </w:p>
    <w:p w14:paraId="085ECE16">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数据备份成功率</w:t>
      </w:r>
    </w:p>
    <w:p w14:paraId="63CB5D4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数据备份成功率是反映数据备份执行有效性的量化指标，其计算公式为：数据备份成功率 = (成功备份次数 / 计划备份次数) × 100%。目标值为 ≥ 99%，按月度进行考核，责任部门为</w:t>
      </w:r>
      <w:r>
        <w:rPr>
          <w:rFonts w:hint="eastAsia"/>
          <w:lang w:val="en-US" w:eastAsia="zh-CN"/>
        </w:rPr>
        <w:t>研发部</w:t>
      </w:r>
      <w:r>
        <w:rPr>
          <w:rFonts w:hint="default"/>
          <w:lang w:val="en-US" w:eastAsia="zh-CN"/>
        </w:rPr>
        <w:t>。</w:t>
      </w:r>
    </w:p>
    <w:p w14:paraId="2459368E">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default"/>
          <w:lang w:val="en-US" w:eastAsia="zh-CN"/>
        </w:rPr>
        <w:t>数据恢复成功率</w:t>
      </w:r>
    </w:p>
    <w:p w14:paraId="729A9DF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default"/>
          <w:lang w:val="en-US" w:eastAsia="zh-CN"/>
        </w:rPr>
        <w:t>数据恢复成功率是反映备份数据可用性的量化指标，其计算公式为：数据恢复成功率 = (成功恢复次数 / 恢复</w:t>
      </w:r>
      <w:r>
        <w:rPr>
          <w:rFonts w:hint="eastAsia"/>
          <w:lang w:val="en-US" w:eastAsia="zh-CN"/>
        </w:rPr>
        <w:t>演练</w:t>
      </w:r>
      <w:r>
        <w:rPr>
          <w:rFonts w:hint="default"/>
          <w:lang w:val="en-US" w:eastAsia="zh-CN"/>
        </w:rPr>
        <w:t>次数) × 100%。目标值为 ≥ 95%，按半年度进行考核。</w:t>
      </w:r>
      <w:r>
        <w:rPr>
          <w:rFonts w:hint="eastAsia"/>
          <w:lang w:val="en-US" w:eastAsia="zh-CN"/>
        </w:rPr>
        <w:t>责任部门为研发部。</w:t>
      </w:r>
    </w:p>
    <w:p w14:paraId="359063D2">
      <w:pPr>
        <w:pStyle w:val="32"/>
        <w:keepNext w:val="0"/>
        <w:keepLines w:val="0"/>
        <w:pageBreakBefore w:val="0"/>
        <w:widowControl w:val="0"/>
        <w:numPr>
          <w:ilvl w:val="0"/>
          <w:numId w:val="6"/>
        </w:numPr>
        <w:kinsoku w:val="0"/>
        <w:wordWrap/>
        <w:overflowPunct/>
        <w:topLinePunct w:val="0"/>
        <w:autoSpaceDE w:val="0"/>
        <w:autoSpaceDN w:val="0"/>
        <w:bidi w:val="0"/>
        <w:adjustRightInd w:val="0"/>
        <w:snapToGrid w:val="0"/>
        <w:ind w:left="425" w:leftChars="0" w:hanging="425" w:firstLineChars="0"/>
        <w:textAlignment w:val="baseline"/>
        <w:rPr>
          <w:rFonts w:hint="default"/>
          <w:lang w:val="en-US" w:eastAsia="zh-CN"/>
        </w:rPr>
      </w:pPr>
      <w:r>
        <w:rPr>
          <w:rFonts w:hint="eastAsia"/>
          <w:lang w:val="en-US" w:eastAsia="zh-CN"/>
        </w:rPr>
        <w:t>数据完整性</w:t>
      </w:r>
    </w:p>
    <w:p w14:paraId="0242E20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数据完整性是反映备份数据可恢复后数据完整可用的量化指标，其计算公式为：数据完整性 = (抽样校验通过的数据记录数</w:t>
      </w:r>
      <w:r>
        <w:rPr>
          <w:rFonts w:hint="eastAsia"/>
          <w:lang w:val="en-US" w:eastAsia="zh-CN"/>
        </w:rPr>
        <w:t xml:space="preserve"> / </w:t>
      </w:r>
      <w:r>
        <w:rPr>
          <w:rFonts w:hint="default"/>
          <w:lang w:val="en-US" w:eastAsia="zh-CN"/>
        </w:rPr>
        <w:t>抽样校验的总数据记录数) × 100%</w:t>
      </w:r>
      <w:r>
        <w:rPr>
          <w:rFonts w:hint="eastAsia"/>
          <w:lang w:val="en-US" w:eastAsia="zh-CN"/>
        </w:rPr>
        <w:t>。</w:t>
      </w:r>
      <w:r>
        <w:rPr>
          <w:rFonts w:hint="default"/>
          <w:lang w:val="en-US" w:eastAsia="zh-CN"/>
        </w:rPr>
        <w:t>目标值为 ≥ 99%，按</w:t>
      </w:r>
      <w:r>
        <w:rPr>
          <w:rFonts w:hint="eastAsia"/>
          <w:lang w:val="en-US" w:eastAsia="zh-CN"/>
        </w:rPr>
        <w:t>季</w:t>
      </w:r>
      <w:r>
        <w:rPr>
          <w:rFonts w:hint="default"/>
          <w:lang w:val="en-US" w:eastAsia="zh-CN"/>
        </w:rPr>
        <w:t>度进行考核。责任部门为</w:t>
      </w:r>
      <w:r>
        <w:rPr>
          <w:rFonts w:hint="eastAsia"/>
          <w:lang w:val="en-US" w:eastAsia="zh-CN"/>
        </w:rPr>
        <w:t>质量部</w:t>
      </w:r>
      <w:r>
        <w:rPr>
          <w:rFonts w:hint="default"/>
          <w:lang w:val="en-US" w:eastAsia="zh-CN"/>
        </w:rPr>
        <w:t>。</w:t>
      </w:r>
    </w:p>
    <w:p w14:paraId="1C311E49">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6" w:name="_Toc13629"/>
      <w:r>
        <w:rPr>
          <w:rFonts w:hint="eastAsia"/>
          <w:lang w:val="en-US" w:eastAsia="zh-CN"/>
        </w:rPr>
        <w:t>技术研发规划</w:t>
      </w:r>
      <w:bookmarkEnd w:id="36"/>
    </w:p>
    <w:p w14:paraId="5FDF88FD">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7" w:name="_Toc18223"/>
      <w:r>
        <w:rPr>
          <w:rFonts w:hint="default"/>
          <w:lang w:val="en-US" w:eastAsia="zh-CN"/>
        </w:rPr>
        <w:t>研发现状</w:t>
      </w:r>
      <w:bookmarkEnd w:id="37"/>
    </w:p>
    <w:p w14:paraId="43EE20A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公司研发部已建立研发管理制度，配备研发团队及开发测试环境。目前自研的运维监控平台已应用于</w:t>
      </w:r>
      <w:r>
        <w:rPr>
          <w:rFonts w:hint="eastAsia"/>
          <w:lang w:val="en-US" w:eastAsia="zh-CN"/>
        </w:rPr>
        <w:t>公司运维项目</w:t>
      </w:r>
      <w:r>
        <w:rPr>
          <w:rFonts w:hint="default"/>
          <w:lang w:val="en-US" w:eastAsia="zh-CN"/>
        </w:rPr>
        <w:t>，实现了对服务器、网络设备、前端设备等基础环境的监控。</w:t>
      </w:r>
    </w:p>
    <w:p w14:paraId="062E8F2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但在数据库监控方面存在明显短板：无法实时监控数据库关键性能指标，慢查询定位困难，缺乏索引优化建议，Redis监控缺失。随着运维项目增加，客户对数据库监控的需求日益迫切，亟需补齐这一能力短板。</w:t>
      </w:r>
    </w:p>
    <w:p w14:paraId="16751472">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8" w:name="_Toc8708"/>
      <w:r>
        <w:rPr>
          <w:rFonts w:hint="default"/>
          <w:lang w:val="en-US" w:eastAsia="zh-CN"/>
        </w:rPr>
        <w:t>研发目标</w:t>
      </w:r>
      <w:bookmarkEnd w:id="38"/>
    </w:p>
    <w:p w14:paraId="75BD8A1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rPr>
          <w:rFonts w:hint="default"/>
          <w:lang w:val="en-US" w:eastAsia="zh-CN"/>
        </w:rPr>
        <w:t>2026年技术研发聚焦于数据库监控能力提升，总体目标为：完成数据库监控模块研发，实现对MySQL、Redis等主流数据库的全面监控，具备慢SQL采集分析和索引优化建议能力，并同步完成相关运维手册编写和新技术研究。</w:t>
      </w:r>
    </w:p>
    <w:p w14:paraId="5DB6E6D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bookmarkStart w:id="39" w:name="_Toc5299"/>
      <w:r>
        <w:rPr>
          <w:rFonts w:hint="eastAsia"/>
          <w:lang w:val="en-US" w:eastAsia="zh-CN"/>
        </w:rPr>
        <w:t>研发计划</w:t>
      </w:r>
      <w:bookmarkEnd w:id="39"/>
    </w:p>
    <w:p w14:paraId="0FAAEA4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r>
        <w:t>本次研发将依据《运维服务技术研发规划》系统推进，围绕需求细化、功能设计、迭代开发、测试上线及培训推广等关键阶段展开，确保开发成果能有效落地并服务于运维团队的实际工作。详细的任务排期、资源分配与技术方案请参见该规划文档。</w:t>
      </w:r>
    </w:p>
    <w:p w14:paraId="1D036BA6">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0" w:name="_Toc21390"/>
      <w:r>
        <w:rPr>
          <w:rFonts w:hint="eastAsia"/>
          <w:lang w:val="en-US" w:eastAsia="zh-CN"/>
        </w:rPr>
        <w:t>过程管理规划</w:t>
      </w:r>
      <w:bookmarkEnd w:id="40"/>
    </w:p>
    <w:p w14:paraId="53B9848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为确保运维服务过程的规范性、一致性和可追溯性，2026年公司将按照ITSS标准要求，建立并持续优化运维服务过程管理体系。</w:t>
      </w:r>
    </w:p>
    <w:p w14:paraId="17695D5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1" w:name="_Toc12533"/>
      <w:r>
        <w:rPr>
          <w:rFonts w:hint="eastAsia"/>
          <w:lang w:val="en-US" w:eastAsia="zh-CN"/>
        </w:rPr>
        <w:t>过程框架管理</w:t>
      </w:r>
      <w:bookmarkEnd w:id="41"/>
    </w:p>
    <w:p w14:paraId="4861F33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根据《运维服务过程框架管理制度》，公司运维服务过程框架分为服务规划与设计、服务部署与实施、服务运营与管理、服务监控与改进四个核心阶段，形成完整的PDCA闭环。</w:t>
      </w:r>
    </w:p>
    <w:p w14:paraId="10EF8F9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过程框架管理的主要工作包括：运维部负责制定并持续完善运维服务过程框架相关管理制度，牵头组织服务规划设计、部署实施、运营管理、监控改进等核心活动；质量部每年度组织一次过程框架评价，评估各过程执行的符合性和有效性，形成《过程框架评价报告》，识别改进机会并推动落实；各过程的执行情况纳入月度服务报告，定期向管理层汇报。</w:t>
      </w:r>
    </w:p>
    <w:p w14:paraId="460965A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KPI指标：过程框架评价次数</w:t>
      </w:r>
    </w:p>
    <w:p w14:paraId="1F7BD23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过程框架评价次数是反映运维服务过程框架定期评估执行情况的量化指标。计算方式为：年度内过程框架评价次数统计。目标值为≥1次，按年度进行考核，责任部门为运维部。</w:t>
      </w:r>
    </w:p>
    <w:p w14:paraId="1C09D7D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2" w:name="_Toc28361"/>
      <w:r>
        <w:rPr>
          <w:rFonts w:hint="eastAsia"/>
          <w:lang w:val="en-US" w:eastAsia="zh-CN"/>
        </w:rPr>
        <w:t>服务级别管理</w:t>
      </w:r>
      <w:bookmarkEnd w:id="42"/>
    </w:p>
    <w:p w14:paraId="48C6208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根据《运维服务级别管理制度》，公司建立服务级别管理流程，对运维服务级别进行协商、监控和报告。</w:t>
      </w:r>
    </w:p>
    <w:p w14:paraId="0327CE8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服务级别管理的主要工作包括：运维部经理负责制定和更新服务目录，定义和维持有效的服务级别管理流程；运维项目经理执行SLA的制定或修订工作，SLA须由客户确认后，提交运维部评审，通过后再经管理层评审，此评审活动每年至少一次；质量部每季度对服务级别执行情况进行监控，统计SLA达成率，对未达标的SLA项进行原因分析并制定改进措施；根据管理评审结果或部门例会决议，识别问题和差距，填写《服务改进计划表》，持续改进服务级别。</w:t>
      </w:r>
    </w:p>
    <w:p w14:paraId="03DBF02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68207264">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SLA达成率</w:t>
      </w:r>
    </w:p>
    <w:p w14:paraId="66A209E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SLA达成率是反映服务级别协议执行情况的量化指标，其计算公式为：SLA达成率 = (当期已达成的SLA数 / 当期应达成的SLA总数) × 100%。目标值为≥95%，按季度进行考核，责任部门为运维部。</w:t>
      </w:r>
    </w:p>
    <w:p w14:paraId="4BAD9169">
      <w:pPr>
        <w:pStyle w:val="32"/>
        <w:keepNext w:val="0"/>
        <w:keepLines w:val="0"/>
        <w:pageBreakBefore w:val="0"/>
        <w:widowControl w:val="0"/>
        <w:numPr>
          <w:ilvl w:val="0"/>
          <w:numId w:val="7"/>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SLA评审次数</w:t>
      </w:r>
    </w:p>
    <w:p w14:paraId="7228DD0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SLA评审次数是反映服务级别协议定期评审执行情况的量化指标。计算方式为：SLA评审次数统计。目标值为≥1次，按年度进行考核，责任部门为运维部。</w:t>
      </w:r>
    </w:p>
    <w:p w14:paraId="28AD46C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3" w:name="_Toc1895"/>
      <w:r>
        <w:rPr>
          <w:rFonts w:hint="eastAsia"/>
          <w:lang w:val="en-US" w:eastAsia="zh-CN"/>
        </w:rPr>
        <w:t>服务报告管理</w:t>
      </w:r>
      <w:bookmarkEnd w:id="43"/>
    </w:p>
    <w:p w14:paraId="2DBFFFD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根据《运维服务报告管理制度》，公司建立标准化的服务报告管理机制，确保服务报告的及时性、准确性和完整性。</w:t>
      </w:r>
    </w:p>
    <w:p w14:paraId="754C765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服务报告管理的主要工作包括：运维项目经理负责按照固定格式和周期编制服务报告，包括日常运维报告（每周）、服务级别报告（每月）、季度服务报告（每季度）、年度服务报告（每年）以及重大事件报告、专项改进报告等专项报告；质量部每季度组织服务报告管理过程的评审，从及时性、准确性、完整性、可读性、分析深度等维度进行评估；服务报告按照分发矩阵提交给客户、管理层、质量部等相关方，重要报告需确认对方已接收。</w:t>
      </w:r>
    </w:p>
    <w:p w14:paraId="39CF6670">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779CBCCB">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服务报告交付及时率</w:t>
      </w:r>
    </w:p>
    <w:p w14:paraId="0264C96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服务报告交付及时率是反映服务报告按时提交情况的量化指标，其计算公式为：服务报告交付及时率 = (按时提交的服务报告数量 / 应提交服务报告总数量) × 100%。目标值为≥95%，按季度进行考核，责任部门为运维部。</w:t>
      </w:r>
    </w:p>
    <w:p w14:paraId="7C9A219A">
      <w:pPr>
        <w:pStyle w:val="32"/>
        <w:keepNext w:val="0"/>
        <w:keepLines w:val="0"/>
        <w:pageBreakBefore w:val="0"/>
        <w:widowControl w:val="0"/>
        <w:numPr>
          <w:ilvl w:val="0"/>
          <w:numId w:val="8"/>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服务报告准确率</w:t>
      </w:r>
    </w:p>
    <w:p w14:paraId="3154D02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服务报告准确率是反映服务报告数据准确性的量化指标，其计算公式为：服务报告准确率 = (数据准确的服务报告数量 / 服务报告总数量) × 100%。目标值为≥98%，按季度进行考核，责任部门为运维部。</w:t>
      </w:r>
    </w:p>
    <w:p w14:paraId="2B7E176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4" w:name="_Toc2735"/>
      <w:r>
        <w:rPr>
          <w:rFonts w:hint="eastAsia"/>
          <w:lang w:val="en-US" w:eastAsia="zh-CN"/>
        </w:rPr>
        <w:t>事件管理</w:t>
      </w:r>
      <w:bookmarkEnd w:id="44"/>
    </w:p>
    <w:p w14:paraId="5786440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根据《运维服务事件管理制度》，公司建立标准化的服务事件管理流程，确保事件能够快速响应和有效解决。</w:t>
      </w:r>
    </w:p>
    <w:p w14:paraId="59843F4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事件管理的主要工作包括：服务台作为事件统一受理窗口，7×24小时接收客户事件请求；事件根据影响范围和紧急程度分为一级、二级、三级，各级事件规定相应的响应时间和处理时间要求（一级事件3分钟内响应、4小时内解决）；当事件在规定时间内未能解决时，按升级时间要求（一级事件1小时升级到二线、2小时升级到三线）进行升级处理；事件解决后，服务台进行客户回访，确认事件解决效果并收集满意度。</w:t>
      </w:r>
    </w:p>
    <w:p w14:paraId="1E45C72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4B18C7B2">
      <w:pPr>
        <w:pStyle w:val="32"/>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事件解决率</w:t>
      </w:r>
    </w:p>
    <w:p w14:paraId="2B7E3A0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事件解决率是反映事件处理能力的量化指标，其计算公式为：事件解决率 = (成功解决事件数 / 已关闭事件总数) × 100%。目标值为≥95%，按季度进行考核，责任部门为运维部。</w:t>
      </w:r>
    </w:p>
    <w:p w14:paraId="58B5CD15">
      <w:pPr>
        <w:pStyle w:val="32"/>
        <w:keepNext w:val="0"/>
        <w:keepLines w:val="0"/>
        <w:pageBreakBefore w:val="0"/>
        <w:widowControl w:val="0"/>
        <w:numPr>
          <w:ilvl w:val="0"/>
          <w:numId w:val="9"/>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一线解决率</w:t>
      </w:r>
    </w:p>
    <w:p w14:paraId="3F72C8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一线解决率是反映服务台问题解决能力的量化指标，其计算公式为：一线解决率 = (一线解决事件数 / 事件总数) × 100%。目标值为≥70%，按月度进行考核，责任部门为运维部。</w:t>
      </w:r>
    </w:p>
    <w:p w14:paraId="1EFA4CA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5" w:name="_Toc3872"/>
      <w:r>
        <w:rPr>
          <w:rFonts w:hint="eastAsia"/>
          <w:lang w:val="en-US" w:eastAsia="zh-CN"/>
        </w:rPr>
        <w:t>问题管理</w:t>
      </w:r>
      <w:bookmarkEnd w:id="45"/>
    </w:p>
    <w:p w14:paraId="382869B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根据《运维服务问题管理制度》，公司建立问题管理流程，通过分析事件的根本原因，防止同类事件再次发生。</w:t>
      </w:r>
    </w:p>
    <w:p w14:paraId="2DF96D8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问题管理的主要工作包括：当事件原因不明、同一事件频繁发生（一周内发生3次以上）、事件影响重大时，由事件管理流程触发问题管理流程；运维部经理作为问题管理负责人，负责分派问题并跟踪解决；问题分析采用5W1H、鱼骨图、故障树等方法进行根本原因分析；问题解决后，将解决方案录入知识库，形成知识沉淀；问题管理负责人每月进行问题汇总分析，结果作为服务报告的输入。</w:t>
      </w:r>
    </w:p>
    <w:p w14:paraId="312392F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KPI指标：问题解决率</w:t>
      </w:r>
    </w:p>
    <w:p w14:paraId="395AD5F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问题解决率是反映问题管理有效性的量化指标，其计算公式为：问题解决率 = (成功解决问题数 / 问题总数) × 100%。目标值为≥90%，按季度进行考核，责任部门为运维部。</w:t>
      </w:r>
    </w:p>
    <w:p w14:paraId="0442307B">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6" w:name="_Toc13789"/>
      <w:r>
        <w:rPr>
          <w:rFonts w:hint="eastAsia"/>
          <w:lang w:val="en-US" w:eastAsia="zh-CN"/>
        </w:rPr>
        <w:t>变更管理</w:t>
      </w:r>
      <w:bookmarkEnd w:id="46"/>
    </w:p>
    <w:p w14:paraId="5FB53F9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根据《运维服务变更管理制度》，公司建立变更管理流程，对所有对运维服务环境有影响的变更进行管理和控制。</w:t>
      </w:r>
    </w:p>
    <w:p w14:paraId="3466A6A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变更管理的主要工作包括：变更分为一般变更、重大变更、紧急变更三类，不同类型的变更执行不同的审批流程；变更方案必须包含回退计划，明确回退触发条件、回退操作步骤、回退负责人、回退验证方法等；重大变更和紧急变更由变更管理委员会（CAB）进行评估和决策，CAB成员包括运维部经理、研发部经理、质量部经理、总经理/副总经理、客户代表；变更完成后，变更管理负责人每季度对变更数量进行统计，分析变更过程存在的问题，形成变更服务报告。</w:t>
      </w:r>
    </w:p>
    <w:p w14:paraId="77EFFD5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KPI指标：变更成功率</w:t>
      </w:r>
    </w:p>
    <w:p w14:paraId="176A693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变更成功率是反映变更管理执行质量的量化指标，其计算公式为：变更成功率 = (成功变更数 / 发起变更总数) × 100%。目标值为≥92%，按季度进行考核，责任部门为运维部。</w:t>
      </w:r>
    </w:p>
    <w:p w14:paraId="294152E2">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7" w:name="_Toc18601"/>
      <w:r>
        <w:rPr>
          <w:rFonts w:hint="eastAsia"/>
          <w:lang w:val="en-US" w:eastAsia="zh-CN"/>
        </w:rPr>
        <w:t>发布管理</w:t>
      </w:r>
      <w:bookmarkEnd w:id="47"/>
    </w:p>
    <w:p w14:paraId="03074147">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根据《运维服务发布管理制度》（SFKJ-ITSS-0607），公司建立发布管理流程，确保软件和硬件的变更经过测试验证后有序发布。</w:t>
      </w:r>
    </w:p>
    <w:p w14:paraId="2C43BFF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发布管理的主要工作包括：发布管理负责人根据变更计划制定《发布方案》，发布方案必须包含回退计划；发布方案需经发布管理负责人（运维部经理）牵头评审，评审通过后方可实施；发布前应对程序和数据进行备份，部署完成后进行验证，验证不成功则按计划执行回退；发布完成后，发布管理负责人收集发布引起的事件或问题数量、发布数量等数据，进行分析并编写《发布报告》，作为服务报告的一部分。</w:t>
      </w:r>
    </w:p>
    <w:p w14:paraId="407AC6E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KPI指标：发布成功率</w:t>
      </w:r>
    </w:p>
    <w:p w14:paraId="1B57A2D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发布成功率是反映发布管理执行质量的量化指标，其计算公式为：发布成功率 = (发布成功次数 / 发布总次数) × 100%。目标值为≥95%，按季度进行考核，责任部门为运维部。</w:t>
      </w:r>
    </w:p>
    <w:p w14:paraId="7924F1E7">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8" w:name="_Toc20907"/>
      <w:r>
        <w:rPr>
          <w:rFonts w:hint="eastAsia"/>
          <w:lang w:val="en-US" w:eastAsia="zh-CN"/>
        </w:rPr>
        <w:t>配置管理</w:t>
      </w:r>
      <w:bookmarkEnd w:id="48"/>
    </w:p>
    <w:p w14:paraId="0C1B335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根据《运维服务配置管理制度》，公司建立配置管理流程，通过配置管理数据库（CMDB）对配置项进行统一管理。</w:t>
      </w:r>
    </w:p>
    <w:p w14:paraId="5ED5034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配置管理的主要工作包括：配置项范围涵盖文档信息、软件信息、硬件信息、其他信息（供应商信息、备件信息等）；硬件运维工程师、软件运维工程师、备件库专员分别负责对应配置项的识别、录入和维护；配置项状态包括开发中、测试中、运行中、废弃；每年至少进行一次配置审计和验证，发生重大变更、新服务上线、发现配置信息与实际情况不符时追加审计；配置管理员每月整理配置管理数据库的信息，编写《配置管理报告》。</w:t>
      </w:r>
    </w:p>
    <w:p w14:paraId="27603C1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3D3E41AC">
      <w:pPr>
        <w:pStyle w:val="32"/>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配置数据准确率</w:t>
      </w:r>
    </w:p>
    <w:p w14:paraId="2B8228A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配置数据准确率是反映配置管理数据库数据准确性的量化指标，其计算公式为：配置数据准确率 = (配置数据匹配数 / 配置数据总数) × 100%。目标值为≥95%，按季度进行考核，责任部门为运维部。</w:t>
      </w:r>
    </w:p>
    <w:p w14:paraId="294816F2">
      <w:pPr>
        <w:pStyle w:val="32"/>
        <w:keepNext w:val="0"/>
        <w:keepLines w:val="0"/>
        <w:pageBreakBefore w:val="0"/>
        <w:widowControl w:val="0"/>
        <w:numPr>
          <w:ilvl w:val="0"/>
          <w:numId w:val="10"/>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配置项覆盖率</w:t>
      </w:r>
    </w:p>
    <w:p w14:paraId="27877B2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配置项覆盖率是反映配置项识别完整性的量化指标，其计算公式为：配置项覆盖率 = (已识别配置项数 / 应识别配置项数) × 100%。目标值为≥95%，按季度进行考核，责任部门为运维部。</w:t>
      </w:r>
    </w:p>
    <w:p w14:paraId="06932B77">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49" w:name="_Toc12063"/>
      <w:r>
        <w:rPr>
          <w:rFonts w:hint="eastAsia"/>
          <w:lang w:val="en-US" w:eastAsia="zh-CN"/>
        </w:rPr>
        <w:t>可用性和连续性管理</w:t>
      </w:r>
      <w:bookmarkEnd w:id="49"/>
    </w:p>
    <w:p w14:paraId="2DE24B3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根据《服务可用性和连续性管理制度》，公司建立服务可用性和连续性管理流程，确保关键服务达到约定的可用性目标，在发生服务中断时能够及时恢复。</w:t>
      </w:r>
    </w:p>
    <w:p w14:paraId="206404A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可用性和连续性管理的主要工作包括：副总经理作为服务可用性和连续性管理负责人，统筹应急管理工作；运维部经理作为日常可用性管理负责人，负责服务可用性目标的制定和分解，日常可用性监控和分析；通过监控工具7×24小时实时监测系统运行状态，当监控指标触发预警阈值时，监控系统自动发送告警；每半年组织一次应急演练（桌面推演每半年1次、实战演练每年1次），验证应急预案有效性。</w:t>
      </w:r>
    </w:p>
    <w:p w14:paraId="282F81E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13980E02">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服务可用性达标率</w:t>
      </w:r>
    </w:p>
    <w:p w14:paraId="3286EBF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服务可用性达标率是反映服务可用性目标达成情况的量化指标，其计算公式为：服务可用性达标率 = (系统实际持续可用时间 / 系统计划持续可用时间) × 100%。目标值为≥99%，按年度进行考核，责任部门为运维部。</w:t>
      </w:r>
    </w:p>
    <w:p w14:paraId="378232F3">
      <w:pPr>
        <w:pStyle w:val="32"/>
        <w:keepNext w:val="0"/>
        <w:keepLines w:val="0"/>
        <w:pageBreakBefore w:val="0"/>
        <w:widowControl w:val="0"/>
        <w:numPr>
          <w:ilvl w:val="0"/>
          <w:numId w:val="11"/>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服务异常中断次数</w:t>
      </w:r>
    </w:p>
    <w:p w14:paraId="3322B1C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服务异常中断次数是反映服务稳定性的量化指标。计算方式为：由于异常情况导致服务中断的次数统计。目标值为≤2次，按年度进行考核，责任部门为运维部。</w:t>
      </w:r>
    </w:p>
    <w:p w14:paraId="76F521E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0" w:name="_Toc14151"/>
      <w:r>
        <w:rPr>
          <w:rFonts w:hint="eastAsia"/>
          <w:lang w:val="en-US" w:eastAsia="zh-CN"/>
        </w:rPr>
        <w:t>容量管理</w:t>
      </w:r>
      <w:bookmarkEnd w:id="50"/>
    </w:p>
    <w:p w14:paraId="6F4F00E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根据《运维服务容量管理制度》，公司建立容量管理流程，确保IT基础设施和服务能力与业务需求相匹配。</w:t>
      </w:r>
    </w:p>
    <w:p w14:paraId="74DD1D2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容量管理的主要工作包括：容量管理范围涵盖计算资源（服务器、虚拟机）、存储资源、网络资源、数据库资源、应用系统、前端设备；容量监控人员按照容量管理计划执行日常容量监控，关键容量指标包括CPU使用率（&gt;80%预警、&gt;90%告警）、内存使用率（&gt;85%预警、&gt;95%告警）、磁盘使用率（&gt;80%预警、&gt;90%告警）等；每月进行容量分析，识别容量趋势、瓶颈和潜在风险；容量调整通过变更管理流程执行。</w:t>
      </w:r>
    </w:p>
    <w:p w14:paraId="5705153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KPI指标：容量报告及时性</w:t>
      </w:r>
    </w:p>
    <w:p w14:paraId="11B777F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容量报告及时性是反映容量管理工作按时交付情况的量化指标，其计算公式为：容量报告及时性 = (实际按时提交的报告数 / 应按时提交的报告数) × 100%。目标值为≥95%，按季度进行考核，责任部门为运维部。</w:t>
      </w:r>
    </w:p>
    <w:p w14:paraId="24773D94">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1" w:name="_Toc24440"/>
      <w:r>
        <w:rPr>
          <w:rFonts w:hint="eastAsia"/>
          <w:lang w:val="en-US" w:eastAsia="zh-CN"/>
        </w:rPr>
        <w:t>信息安全管理</w:t>
      </w:r>
      <w:bookmarkEnd w:id="51"/>
    </w:p>
    <w:p w14:paraId="2F58AF1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根据《运维服务信息安全管理制度》，公司建立信息安全管理流程，确保服务的安全性满足客户约定的级别。</w:t>
      </w:r>
    </w:p>
    <w:p w14:paraId="258C9E6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信息安全管理的主要工作包括：遵循公司"统一规划、分级管理、积极防范、人人有责"的安全方针；每年至少进行一次信息安全风险评估，识别信息资产、评估面临的威胁和脆弱性，确定风险等级；制定《信息安全管理规范》，覆盖人员安全、访问控制、数据安全、系统安全、网络安全、物理安全、应急响应七类规范；每半年组织一次安全培训，确保运维人员了解安全政策和操作规范。</w:t>
      </w:r>
    </w:p>
    <w:p w14:paraId="0593C2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0E3277B8">
      <w:pPr>
        <w:pStyle w:val="32"/>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安全培训覆盖率</w:t>
      </w:r>
    </w:p>
    <w:p w14:paraId="5A26103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安全培训覆盖率是反映安全培训覆盖广度的量化指标，其计算公式为：安全培训覆盖率 = (接受培训人数 / 应培训人数) × 100%。目标值为≥95%，按年度进行考核，责任部门为运维部。</w:t>
      </w:r>
    </w:p>
    <w:p w14:paraId="2233FC68">
      <w:pPr>
        <w:pStyle w:val="32"/>
        <w:keepNext w:val="0"/>
        <w:keepLines w:val="0"/>
        <w:pageBreakBefore w:val="0"/>
        <w:widowControl w:val="0"/>
        <w:numPr>
          <w:ilvl w:val="0"/>
          <w:numId w:val="12"/>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信息安全事故数量</w:t>
      </w:r>
    </w:p>
    <w:p w14:paraId="4698D196">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信息安全事故数量是反映信息安全管理有效性的量化指标。计算方式为：我方人员造成安全事故的次数统计。目标值为≤1次，按年度进行考核，责任部门为运维部。</w:t>
      </w:r>
    </w:p>
    <w:p w14:paraId="2C73A723">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2" w:name="_Toc32349"/>
      <w:r>
        <w:rPr>
          <w:rFonts w:hint="eastAsia"/>
          <w:lang w:val="en-US" w:eastAsia="zh-CN"/>
        </w:rPr>
        <w:t>交付管理规划</w:t>
      </w:r>
      <w:bookmarkEnd w:id="52"/>
    </w:p>
    <w:p w14:paraId="179FE28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根据《运维服务交付管理制度》，公司采用PDCA循环管理模式，通过交付策划、交付实施、交付检查、交付改进四个核心环节，实现服务交付质量的闭环管控。</w:t>
      </w:r>
    </w:p>
    <w:p w14:paraId="606448E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2026年交付管理的主要工作包括：</w:t>
      </w:r>
    </w:p>
    <w:p w14:paraId="2DF19700">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3" w:name="_Toc3826"/>
      <w:r>
        <w:rPr>
          <w:rFonts w:hint="eastAsia"/>
          <w:lang w:val="en-US" w:eastAsia="zh-CN"/>
        </w:rPr>
        <w:t>交付策划</w:t>
      </w:r>
      <w:bookmarkEnd w:id="53"/>
    </w:p>
    <w:p w14:paraId="6FD6B51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项目启动时与客户召开项目交底会，明确服务范围、SLA指标、沟通机制、应急联络方式，形成《项目交底会议纪要》；编制《项目服务总计划》和《运维服务交付计划》，明确里程碑节点、交付物、责任人及验收标准；组建"一线、二线、三线"三级运维服务体系，明确各岗位职责；开展全面风险评估，制定《风险管理计划》和专项应急预案。</w:t>
      </w:r>
    </w:p>
    <w:p w14:paraId="688096EE">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4" w:name="_Toc14934"/>
      <w:r>
        <w:rPr>
          <w:rFonts w:hint="eastAsia"/>
          <w:lang w:val="en-US" w:eastAsia="zh-CN"/>
        </w:rPr>
        <w:t>交付实施</w:t>
      </w:r>
      <w:bookmarkEnd w:id="54"/>
    </w:p>
    <w:p w14:paraId="775EFBE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严格遵循服务计划及操作规范，通过工单系统统一受理、派发、处理所有服务请求；建立SLA达成情况实时监控机制，每日统计服务响应时间、故障解决率等关键数据；严格执行故障处理流程，确保所有故障在规定时限内闭环；通过周报、月报、季报等形式，定期向客户及公司管理层同步项目进展、风险状况、服务成果。</w:t>
      </w:r>
    </w:p>
    <w:p w14:paraId="464EB477">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5" w:name="_Toc29171"/>
      <w:r>
        <w:rPr>
          <w:rFonts w:hint="eastAsia"/>
          <w:lang w:val="en-US" w:eastAsia="zh-CN"/>
        </w:rPr>
        <w:t>交付检查</w:t>
      </w:r>
      <w:bookmarkEnd w:id="55"/>
    </w:p>
    <w:p w14:paraId="663DABE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运维项目经理每月组织项目自查，形成《自查报告》并自行整改；质量部经理每季度对重点项目进行全覆盖抽查，填写《交付检查报告》；检查结果及时反馈并纳入问题整改台账跟踪闭环。</w:t>
      </w:r>
    </w:p>
    <w:p w14:paraId="1F8F00A2">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6" w:name="_Toc27186"/>
      <w:r>
        <w:rPr>
          <w:rFonts w:hint="eastAsia"/>
          <w:lang w:val="en-US" w:eastAsia="zh-CN"/>
        </w:rPr>
        <w:t>交付改进</w:t>
      </w:r>
      <w:bookmarkEnd w:id="56"/>
    </w:p>
    <w:p w14:paraId="290964F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牵头，针对检查报告和客户投诉，组织召开专题分析会，制定改进方案，明确整改措施、时限与责任人；定期组织服务复盘会议，总结经验教训，形成《服务改进报告》；将改进成果固化到服务流程、操作手册、知识库中。</w:t>
      </w:r>
    </w:p>
    <w:p w14:paraId="19860D7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KPI指标：交付通过率</w:t>
      </w:r>
    </w:p>
    <w:p w14:paraId="0801867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交付通过率是反映运维服务交付质量的量化指标，其计算公式为：交付通过率 = (一次交付成功项目数 / 总交付项目数) × 100%。目标值为≥95%，按年度进行考核，责任部门为运维部。</w:t>
      </w:r>
    </w:p>
    <w:p w14:paraId="1A645300">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7" w:name="_Toc32479"/>
      <w:r>
        <w:rPr>
          <w:rFonts w:hint="eastAsia"/>
          <w:lang w:val="en-US" w:eastAsia="zh-CN"/>
        </w:rPr>
        <w:t>应急管理规划</w:t>
      </w:r>
      <w:bookmarkEnd w:id="57"/>
    </w:p>
    <w:p w14:paraId="69A39AF8">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根据《运维服务应急管理制度》，公司建立统一的应急响应管理体系，确保在突发事件发生时能够快速响应、有效处置。</w:t>
      </w:r>
    </w:p>
    <w:p w14:paraId="3F7DA8D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2026年应急管理的主要工作包括：</w:t>
      </w:r>
    </w:p>
    <w:p w14:paraId="43D2DA6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组织：公司设立三级应急组织体系，包括应急领导小组（副总经理、运维部经理、研发部经理、质量部经理）、应急执行小组（运维项目经理、硬件/软件运维工程师、技术支持工程师）、应急支持小组（人力部经理、备件库专员、采购专员）。</w:t>
      </w:r>
    </w:p>
    <w:p w14:paraId="2803A89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预案：每个运维项目至少制定一份《应急预案》，涵盖项目核心系统，包括适用范围、应急组织架构及职责、风险场景及对应处置流程、联络方式、资源清单、恢复步骤、回退方案等；应急预案由运维项目经理组织编写，经运维部经理审核、副总经理批准后发布执行；每年至少评审一次应急预案，根据风险评估结果、演练总结、实际事件处置经验进行修订。</w:t>
      </w:r>
    </w:p>
    <w:p w14:paraId="64B2628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响应：应急响应流程分为监测与预警、先期处置、应急启动、应急处置、应急终止五个阶段；一线工程师接到告警后应在15分钟内响应，若在30分钟内无法恢复或事件影响重大，应立即上报运维项目经理和副总经理；应急处置过程中，重大事件每30分钟向客户和管理层通报一次进展。</w:t>
      </w:r>
    </w:p>
    <w:p w14:paraId="54C0CB1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演练：每年至少组织一次全面演练（实战演练），每季度组织一次专项演练（桌面推演）；演练前制定《应急演练计划》，明确演练目标、场景、参与人员、物资准备；演练过程全程记录，演练后组织复盘，评估演练效果，形成《应急演练总结报告》。</w:t>
      </w:r>
    </w:p>
    <w:p w14:paraId="2B4F214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KPI指标：应急演练次数</w:t>
      </w:r>
    </w:p>
    <w:p w14:paraId="0712D72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应急演练次数是反映应急演练执行情况的量化指标。计算方式为：应急演练报告数量统计。目标值为≥1次，按年度进行考核，责任部门为运维部。</w:t>
      </w:r>
    </w:p>
    <w:p w14:paraId="7BD2C461">
      <w:pPr>
        <w:pStyle w:val="33"/>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8" w:name="_Toc30855"/>
      <w:r>
        <w:rPr>
          <w:rFonts w:hint="eastAsia"/>
          <w:lang w:val="en-US" w:eastAsia="zh-CN"/>
        </w:rPr>
        <w:t>质量管理规划</w:t>
      </w:r>
      <w:bookmarkEnd w:id="58"/>
    </w:p>
    <w:p w14:paraId="5AA54E73">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根据《运维服务质量管理制度》《内审管理制度》（SFKJ-ITSS-0401）、《管理评审制度》《满意度管理制度》等制度，公司建立全面的质量管理体系，确保运维服务质量持续提升。</w:t>
      </w:r>
    </w:p>
    <w:p w14:paraId="36231BAC">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2026年质量管理的主要工作包括：</w:t>
      </w:r>
    </w:p>
    <w:p w14:paraId="57EEB05D">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质量方针：遵循公司"过程规范、快速响应、提高服务质量，提升客户满意度"的质量方针，全体员工在日常工作中贯彻质量意识。</w:t>
      </w:r>
    </w:p>
    <w:p w14:paraId="0D595D06">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59" w:name="_Toc21553"/>
      <w:r>
        <w:rPr>
          <w:rFonts w:hint="eastAsia"/>
          <w:lang w:val="en-US" w:eastAsia="zh-CN"/>
        </w:rPr>
        <w:t>质量管理计划</w:t>
      </w:r>
      <w:bookmarkEnd w:id="59"/>
    </w:p>
    <w:p w14:paraId="518B7AF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每年年初制定《年度运维服务质量管理计划》，明确质量管理的目的、范围、组织、权限、责任，确定要对哪些过程和服务进行质量检查审计，明确质量检查的时间安排和频次、质量培训计划、质量目标及KPI指标。</w:t>
      </w:r>
    </w:p>
    <w:p w14:paraId="042A85F1">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0" w:name="_Toc2919"/>
      <w:r>
        <w:rPr>
          <w:rFonts w:hint="eastAsia"/>
          <w:lang w:val="en-US" w:eastAsia="zh-CN"/>
        </w:rPr>
        <w:t>质量检查</w:t>
      </w:r>
      <w:bookmarkEnd w:id="60"/>
    </w:p>
    <w:p w14:paraId="7D66E8C5">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每季度对组织级的运维服务质量进行审计，检查能力计划执行情况和指标体系中各指标项的达成情况，检查各过程管理制度的执行情况，检查服务交付物的完整性；质量部依据质量管理计划，定期对项目活动和工作产品进行检查，记录检查发现的问题，作为改进的依据。</w:t>
      </w:r>
    </w:p>
    <w:p w14:paraId="54EC5EAC">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1" w:name="_Toc12202"/>
      <w:r>
        <w:rPr>
          <w:rFonts w:hint="eastAsia"/>
          <w:lang w:val="en-US" w:eastAsia="zh-CN"/>
        </w:rPr>
        <w:t>内部审核</w:t>
      </w:r>
      <w:bookmarkEnd w:id="61"/>
    </w:p>
    <w:p w14:paraId="16587A7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质量部每年度至少组织一次覆盖公司全范围的运维服务管理体系内部审核活动，审核范围应覆盖人员、资源、技术、过程、交付、应急六大能力域；内审员不得审核本部门，审核依据包括ITSS标准、GB/T 28827.1、公司相关制度、SLA协议、客户需求及法律法规；审核结束后，内审组长编写《内部审核报告》，报总经理审批后发放至相关受审部门。</w:t>
      </w:r>
    </w:p>
    <w:p w14:paraId="0AE8B669">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2" w:name="_Toc9310"/>
      <w:r>
        <w:rPr>
          <w:rFonts w:hint="eastAsia"/>
          <w:lang w:val="en-US" w:eastAsia="zh-CN"/>
        </w:rPr>
        <w:t>管理评审</w:t>
      </w:r>
      <w:bookmarkEnd w:id="62"/>
    </w:p>
    <w:p w14:paraId="488DF83B">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总经理每年至少主持一次管理评审会议，一般在内部审核结束后一个月内进行；管理评审输入包括内审结果、外审结果、客户满意度调查报告、KPI达成情况、交付情况、应急情况、技术发展、资源状况、人员状况等；管理评审输出包括管理体系适宜性、充分性和有效性的总体评价，体系改进方向和重点，具体改进决议事项，资源配置需求，下一年度运维服务目标建议；质量部根据评审决议编写《管理评审报告》，经总经理批准后发放至各相关部门。</w:t>
      </w:r>
    </w:p>
    <w:p w14:paraId="4848A9C3">
      <w:pPr>
        <w:pStyle w:val="34"/>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bookmarkStart w:id="63" w:name="_Toc9272"/>
      <w:r>
        <w:rPr>
          <w:rFonts w:hint="eastAsia"/>
          <w:lang w:val="en-US" w:eastAsia="zh-CN"/>
        </w:rPr>
        <w:t>客户满意度管理</w:t>
      </w:r>
      <w:bookmarkEnd w:id="63"/>
    </w:p>
    <w:p w14:paraId="1940B309">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质量部每年度至少组织一次组织级客户满意度调查，采用问卷填写方式，调查内容与SLA内容相一致，覆盖所有运维服务客户；调查维度包括响应速度、服务态度、技术水平、交付质量、应急响应、沟通协调、总体评价；质量部根据调查反馈数据进行分析总结，编写《客户满意度调查分析报告》，提出服务改进建议。</w:t>
      </w:r>
    </w:p>
    <w:p w14:paraId="05D7CE62">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KPI指标：</w:t>
      </w:r>
    </w:p>
    <w:p w14:paraId="41D05677">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内审次数</w:t>
      </w:r>
    </w:p>
    <w:p w14:paraId="5019235F">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内审次数是反映内部审核执行情况的量化指标。计算方式为：内审报告数量统计。目标值为≥1次，按年度进行考核，责任部门为质量部。</w:t>
      </w:r>
    </w:p>
    <w:p w14:paraId="4ABD9B68">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管评次数</w:t>
      </w:r>
    </w:p>
    <w:p w14:paraId="11340CF1">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管评次数是反映管理评审执行情况的量化指标。计算方式为：管评报告数量统计。目标值为≥1次，按年度进行考核，责任部门为质量部。</w:t>
      </w:r>
    </w:p>
    <w:p w14:paraId="0F1A72B4">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客户投诉数量</w:t>
      </w:r>
    </w:p>
    <w:p w14:paraId="3531818A">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客户投诉数量是反映客户满意度的量化指标。计算方式为：服务台收到的客户投诉的数量统计。目标值为≤2次，按年度进行考核，责任部门为质量。</w:t>
      </w:r>
    </w:p>
    <w:p w14:paraId="3992DC73">
      <w:pPr>
        <w:pStyle w:val="32"/>
        <w:keepNext w:val="0"/>
        <w:keepLines w:val="0"/>
        <w:pageBreakBefore w:val="0"/>
        <w:widowControl w:val="0"/>
        <w:numPr>
          <w:ilvl w:val="0"/>
          <w:numId w:val="13"/>
        </w:numPr>
        <w:kinsoku w:val="0"/>
        <w:wordWrap/>
        <w:overflowPunct/>
        <w:topLinePunct w:val="0"/>
        <w:autoSpaceDE w:val="0"/>
        <w:autoSpaceDN w:val="0"/>
        <w:bidi w:val="0"/>
        <w:adjustRightInd w:val="0"/>
        <w:snapToGrid w:val="0"/>
        <w:ind w:left="425" w:leftChars="0" w:hanging="425" w:firstLineChars="0"/>
        <w:textAlignment w:val="baseline"/>
        <w:rPr>
          <w:rFonts w:hint="eastAsia"/>
          <w:lang w:val="en-US" w:eastAsia="zh-CN"/>
        </w:rPr>
      </w:pPr>
      <w:r>
        <w:rPr>
          <w:rFonts w:hint="eastAsia"/>
          <w:lang w:val="en-US" w:eastAsia="zh-CN"/>
        </w:rPr>
        <w:t>满意度得分</w:t>
      </w:r>
    </w:p>
    <w:p w14:paraId="14F5B45E">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eastAsia"/>
          <w:lang w:val="en-US" w:eastAsia="zh-CN"/>
        </w:rPr>
      </w:pPr>
      <w:r>
        <w:rPr>
          <w:rFonts w:hint="eastAsia"/>
          <w:lang w:val="en-US" w:eastAsia="zh-CN"/>
        </w:rPr>
        <w:t>满意度得分是反映客户对运维服务整体满意程度的量化指标，其计算公式为：满意度得分 = 满意度得分总和 / 满意度调查客户数。目标值为≥95分，按年度进行考核，责任部门为质量部。</w:t>
      </w:r>
    </w:p>
    <w:p w14:paraId="2B96D8B4">
      <w:pPr>
        <w:pStyle w:val="32"/>
        <w:keepNext w:val="0"/>
        <w:keepLines w:val="0"/>
        <w:pageBreakBefore w:val="0"/>
        <w:widowControl w:val="0"/>
        <w:kinsoku w:val="0"/>
        <w:wordWrap/>
        <w:overflowPunct/>
        <w:topLinePunct w:val="0"/>
        <w:autoSpaceDE w:val="0"/>
        <w:autoSpaceDN w:val="0"/>
        <w:bidi w:val="0"/>
        <w:adjustRightInd w:val="0"/>
        <w:snapToGrid w:val="0"/>
        <w:textAlignment w:val="baseline"/>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微软雅黑">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21FF5E"/>
    <w:multiLevelType w:val="singleLevel"/>
    <w:tmpl w:val="8B21FF5E"/>
    <w:lvl w:ilvl="0" w:tentative="0">
      <w:start w:val="1"/>
      <w:numFmt w:val="decimal"/>
      <w:lvlText w:val="%1."/>
      <w:lvlJc w:val="left"/>
      <w:pPr>
        <w:ind w:left="425" w:hanging="425"/>
      </w:pPr>
      <w:rPr>
        <w:rFonts w:hint="default"/>
      </w:rPr>
    </w:lvl>
  </w:abstractNum>
  <w:abstractNum w:abstractNumId="1">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2">
    <w:nsid w:val="BC4E6598"/>
    <w:multiLevelType w:val="singleLevel"/>
    <w:tmpl w:val="BC4E6598"/>
    <w:lvl w:ilvl="0" w:tentative="0">
      <w:start w:val="1"/>
      <w:numFmt w:val="decimal"/>
      <w:lvlText w:val="%1."/>
      <w:lvlJc w:val="left"/>
      <w:pPr>
        <w:ind w:left="425" w:hanging="425"/>
      </w:pPr>
      <w:rPr>
        <w:rFonts w:hint="default"/>
      </w:rPr>
    </w:lvl>
  </w:abstractNum>
  <w:abstractNum w:abstractNumId="3">
    <w:nsid w:val="BD3CB2BC"/>
    <w:multiLevelType w:val="singleLevel"/>
    <w:tmpl w:val="BD3CB2BC"/>
    <w:lvl w:ilvl="0" w:tentative="0">
      <w:start w:val="1"/>
      <w:numFmt w:val="decimal"/>
      <w:lvlText w:val="%1."/>
      <w:lvlJc w:val="left"/>
      <w:pPr>
        <w:ind w:left="425" w:hanging="425"/>
      </w:pPr>
      <w:rPr>
        <w:rFonts w:hint="default"/>
      </w:rPr>
    </w:lvl>
  </w:abstractNum>
  <w:abstractNum w:abstractNumId="4">
    <w:nsid w:val="C8F36CFC"/>
    <w:multiLevelType w:val="singleLevel"/>
    <w:tmpl w:val="C8F36CFC"/>
    <w:lvl w:ilvl="0" w:tentative="0">
      <w:start w:val="1"/>
      <w:numFmt w:val="decimal"/>
      <w:lvlText w:val="%1."/>
      <w:lvlJc w:val="left"/>
      <w:pPr>
        <w:ind w:left="425" w:hanging="425"/>
      </w:pPr>
      <w:rPr>
        <w:rFonts w:hint="default"/>
      </w:rPr>
    </w:lvl>
  </w:abstractNum>
  <w:abstractNum w:abstractNumId="5">
    <w:nsid w:val="D19F490F"/>
    <w:multiLevelType w:val="singleLevel"/>
    <w:tmpl w:val="D19F490F"/>
    <w:lvl w:ilvl="0" w:tentative="0">
      <w:start w:val="1"/>
      <w:numFmt w:val="decimal"/>
      <w:lvlText w:val="%1."/>
      <w:lvlJc w:val="left"/>
      <w:pPr>
        <w:ind w:left="425" w:hanging="425"/>
      </w:pPr>
      <w:rPr>
        <w:rFonts w:hint="default"/>
      </w:rPr>
    </w:lvl>
  </w:abstractNum>
  <w:abstractNum w:abstractNumId="6">
    <w:nsid w:val="DCF153B7"/>
    <w:multiLevelType w:val="singleLevel"/>
    <w:tmpl w:val="DCF153B7"/>
    <w:lvl w:ilvl="0" w:tentative="0">
      <w:start w:val="1"/>
      <w:numFmt w:val="decimal"/>
      <w:lvlText w:val="%1."/>
      <w:lvlJc w:val="left"/>
      <w:pPr>
        <w:ind w:left="425" w:hanging="425"/>
      </w:pPr>
      <w:rPr>
        <w:rFonts w:hint="default"/>
      </w:rPr>
    </w:lvl>
  </w:abstractNum>
  <w:abstractNum w:abstractNumId="7">
    <w:nsid w:val="037B62C4"/>
    <w:multiLevelType w:val="singleLevel"/>
    <w:tmpl w:val="037B62C4"/>
    <w:lvl w:ilvl="0" w:tentative="0">
      <w:start w:val="1"/>
      <w:numFmt w:val="decimal"/>
      <w:lvlText w:val="%1."/>
      <w:lvlJc w:val="left"/>
      <w:pPr>
        <w:ind w:left="425" w:hanging="425"/>
      </w:pPr>
      <w:rPr>
        <w:rFonts w:hint="default"/>
      </w:rPr>
    </w:lvl>
  </w:abstractNum>
  <w:abstractNum w:abstractNumId="8">
    <w:nsid w:val="049F18A2"/>
    <w:multiLevelType w:val="singleLevel"/>
    <w:tmpl w:val="049F18A2"/>
    <w:lvl w:ilvl="0" w:tentative="0">
      <w:start w:val="1"/>
      <w:numFmt w:val="decimal"/>
      <w:lvlText w:val="%1."/>
      <w:lvlJc w:val="left"/>
      <w:pPr>
        <w:ind w:left="425" w:hanging="425"/>
      </w:pPr>
      <w:rPr>
        <w:rFonts w:hint="default"/>
      </w:rPr>
    </w:lvl>
  </w:abstractNum>
  <w:abstractNum w:abstractNumId="9">
    <w:nsid w:val="15FDC934"/>
    <w:multiLevelType w:val="singleLevel"/>
    <w:tmpl w:val="15FDC934"/>
    <w:lvl w:ilvl="0" w:tentative="0">
      <w:start w:val="1"/>
      <w:numFmt w:val="decimal"/>
      <w:lvlText w:val="%1."/>
      <w:lvlJc w:val="left"/>
      <w:pPr>
        <w:ind w:left="425" w:hanging="425"/>
      </w:pPr>
      <w:rPr>
        <w:rFonts w:hint="default"/>
      </w:rPr>
    </w:lvl>
  </w:abstractNum>
  <w:abstractNum w:abstractNumId="10">
    <w:nsid w:val="2209B528"/>
    <w:multiLevelType w:val="singleLevel"/>
    <w:tmpl w:val="2209B528"/>
    <w:lvl w:ilvl="0" w:tentative="0">
      <w:start w:val="1"/>
      <w:numFmt w:val="decimal"/>
      <w:lvlText w:val="%1."/>
      <w:lvlJc w:val="left"/>
      <w:pPr>
        <w:ind w:left="425" w:hanging="425"/>
      </w:pPr>
      <w:rPr>
        <w:rFonts w:hint="default"/>
      </w:rPr>
    </w:lvl>
  </w:abstractNum>
  <w:abstractNum w:abstractNumId="11">
    <w:nsid w:val="6174B873"/>
    <w:multiLevelType w:val="singleLevel"/>
    <w:tmpl w:val="6174B873"/>
    <w:lvl w:ilvl="0" w:tentative="0">
      <w:start w:val="1"/>
      <w:numFmt w:val="decimal"/>
      <w:lvlText w:val="%1."/>
      <w:lvlJc w:val="left"/>
      <w:pPr>
        <w:ind w:left="425" w:hanging="425"/>
      </w:pPr>
      <w:rPr>
        <w:rFonts w:hint="default"/>
      </w:rPr>
    </w:lvl>
  </w:abstractNum>
  <w:abstractNum w:abstractNumId="12">
    <w:nsid w:val="6C675FB8"/>
    <w:multiLevelType w:val="singleLevel"/>
    <w:tmpl w:val="6C675FB8"/>
    <w:lvl w:ilvl="0" w:tentative="0">
      <w:start w:val="1"/>
      <w:numFmt w:val="decimal"/>
      <w:lvlText w:val="%1."/>
      <w:lvlJc w:val="left"/>
      <w:pPr>
        <w:ind w:left="425" w:hanging="425"/>
      </w:pPr>
      <w:rPr>
        <w:rFonts w:hint="default"/>
      </w:rPr>
    </w:lvl>
  </w:abstractNum>
  <w:num w:numId="1">
    <w:abstractNumId w:val="1"/>
  </w:num>
  <w:num w:numId="2">
    <w:abstractNumId w:val="6"/>
  </w:num>
  <w:num w:numId="3">
    <w:abstractNumId w:val="10"/>
  </w:num>
  <w:num w:numId="4">
    <w:abstractNumId w:val="11"/>
  </w:num>
  <w:num w:numId="5">
    <w:abstractNumId w:val="5"/>
  </w:num>
  <w:num w:numId="6">
    <w:abstractNumId w:val="8"/>
  </w:num>
  <w:num w:numId="7">
    <w:abstractNumId w:val="3"/>
  </w:num>
  <w:num w:numId="8">
    <w:abstractNumId w:val="4"/>
  </w:num>
  <w:num w:numId="9">
    <w:abstractNumId w:val="2"/>
  </w:num>
  <w:num w:numId="10">
    <w:abstractNumId w:val="9"/>
  </w:num>
  <w:num w:numId="11">
    <w:abstractNumId w:val="0"/>
  </w:num>
  <w:num w:numId="12">
    <w:abstractNumId w:val="7"/>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2D23086"/>
    <w:rsid w:val="3A9F18B8"/>
    <w:rsid w:val="4F5A37B4"/>
    <w:rsid w:val="4FAB04B3"/>
    <w:rsid w:val="55342CF9"/>
    <w:rsid w:val="64580C42"/>
    <w:rsid w:val="68284ECA"/>
    <w:rsid w:val="71867F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5">
    <w:name w:val="Default Paragraph Font"/>
    <w:semiHidden/>
    <w:qFormat/>
    <w:uiPriority w:val="0"/>
  </w:style>
  <w:style w:type="table" w:default="1" w:styleId="23">
    <w:name w:val="Normal Table"/>
    <w:semiHidden/>
    <w:qFormat/>
    <w:uiPriority w:val="0"/>
    <w:tblPr>
      <w:tblCellMar>
        <w:top w:w="0" w:type="dxa"/>
        <w:left w:w="108" w:type="dxa"/>
        <w:bottom w:w="0" w:type="dxa"/>
        <w:right w:w="108" w:type="dxa"/>
      </w:tblCellMar>
    </w:tblPr>
  </w:style>
  <w:style w:type="paragraph" w:styleId="11">
    <w:name w:val="caption"/>
    <w:basedOn w:val="1"/>
    <w:next w:val="1"/>
    <w:semiHidden/>
    <w:unhideWhenUsed/>
    <w:qFormat/>
    <w:uiPriority w:val="0"/>
    <w:rPr>
      <w:rFonts w:ascii="Arial" w:hAnsi="Arial" w:eastAsia="黑体"/>
      <w:sz w:val="20"/>
    </w:rPr>
  </w:style>
  <w:style w:type="paragraph" w:styleId="12">
    <w:name w:val="annotation text"/>
    <w:basedOn w:val="1"/>
    <w:qFormat/>
    <w:uiPriority w:val="0"/>
    <w:pPr>
      <w:jc w:val="left"/>
    </w:pPr>
  </w:style>
  <w:style w:type="paragraph" w:styleId="13">
    <w:name w:val="Body Text"/>
    <w:basedOn w:val="1"/>
    <w:semiHidden/>
    <w:qFormat/>
    <w:uiPriority w:val="0"/>
    <w:rPr>
      <w:rFonts w:ascii="Arial" w:hAnsi="Arial" w:eastAsia="Arial" w:cs="Arial"/>
      <w:sz w:val="21"/>
      <w:szCs w:val="21"/>
      <w:lang w:val="en-US" w:eastAsia="en-US" w:bidi="ar-SA"/>
    </w:rPr>
  </w:style>
  <w:style w:type="paragraph" w:styleId="14">
    <w:name w:val="toc 3"/>
    <w:basedOn w:val="1"/>
    <w:next w:val="1"/>
    <w:qFormat/>
    <w:uiPriority w:val="0"/>
    <w:pPr>
      <w:ind w:left="840" w:leftChars="400"/>
    </w:pPr>
  </w:style>
  <w:style w:type="paragraph" w:styleId="15">
    <w:name w:val="footer"/>
    <w:basedOn w:val="1"/>
    <w:qFormat/>
    <w:uiPriority w:val="0"/>
    <w:pPr>
      <w:tabs>
        <w:tab w:val="center" w:pos="4153"/>
        <w:tab w:val="right" w:pos="8306"/>
      </w:tabs>
      <w:snapToGrid w:val="0"/>
      <w:jc w:val="left"/>
    </w:pPr>
    <w:rPr>
      <w:sz w:val="18"/>
    </w:rPr>
  </w:style>
  <w:style w:type="paragraph" w:styleId="16">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7">
    <w:name w:val="toc 1"/>
    <w:basedOn w:val="1"/>
    <w:next w:val="1"/>
    <w:qFormat/>
    <w:uiPriority w:val="0"/>
    <w:rPr>
      <w:rFonts w:ascii="Arial" w:hAnsi="Arial" w:eastAsia="Microsoft JhengHei"/>
      <w:sz w:val="24"/>
    </w:rPr>
  </w:style>
  <w:style w:type="paragraph" w:styleId="18">
    <w:name w:val="table of figures"/>
    <w:basedOn w:val="1"/>
    <w:next w:val="1"/>
    <w:qFormat/>
    <w:uiPriority w:val="0"/>
    <w:pPr>
      <w:ind w:leftChars="200" w:hanging="200" w:hangingChars="200"/>
    </w:pPr>
  </w:style>
  <w:style w:type="paragraph" w:styleId="19">
    <w:name w:val="toc 2"/>
    <w:basedOn w:val="1"/>
    <w:next w:val="1"/>
    <w:qFormat/>
    <w:uiPriority w:val="0"/>
    <w:pPr>
      <w:ind w:left="420" w:leftChars="200"/>
    </w:pPr>
  </w:style>
  <w:style w:type="paragraph" w:styleId="20">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rPr>
  </w:style>
  <w:style w:type="paragraph" w:styleId="21">
    <w:name w:val="Normal (Web)"/>
    <w:basedOn w:val="1"/>
    <w:qFormat/>
    <w:uiPriority w:val="0"/>
    <w:rPr>
      <w:sz w:val="24"/>
    </w:rPr>
  </w:style>
  <w:style w:type="paragraph" w:styleId="22">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basedOn w:val="25"/>
    <w:qFormat/>
    <w:uiPriority w:val="0"/>
    <w:rPr>
      <w:b/>
    </w:rPr>
  </w:style>
  <w:style w:type="paragraph" w:customStyle="1" w:styleId="27">
    <w:name w:val="柴_公司名"/>
    <w:basedOn w:val="22"/>
    <w:qFormat/>
    <w:uiPriority w:val="0"/>
    <w:pPr>
      <w:spacing w:after="600" w:afterLines="600"/>
    </w:pPr>
    <w:rPr>
      <w:rFonts w:hint="eastAsia" w:ascii="宋体" w:hAnsi="宋体" w:eastAsia="宋体" w:cs="宋体"/>
      <w:bCs/>
      <w:spacing w:val="-6"/>
      <w:sz w:val="52"/>
      <w:szCs w:val="52"/>
    </w:rPr>
  </w:style>
  <w:style w:type="paragraph" w:customStyle="1" w:styleId="28">
    <w:name w:val="柴_文档名"/>
    <w:basedOn w:val="22"/>
    <w:qFormat/>
    <w:uiPriority w:val="0"/>
    <w:pPr>
      <w:spacing w:after="900" w:afterLines="900"/>
    </w:pPr>
    <w:rPr>
      <w:rFonts w:ascii="黑体" w:hAnsi="黑体" w:eastAsia="黑体" w:cs="黑体"/>
      <w:bCs/>
      <w:spacing w:val="-7"/>
      <w:sz w:val="52"/>
      <w:szCs w:val="52"/>
    </w:rPr>
  </w:style>
  <w:style w:type="table" w:customStyle="1" w:styleId="29">
    <w:name w:val="Table Normal_0"/>
    <w:semiHidden/>
    <w:unhideWhenUsed/>
    <w:qFormat/>
    <w:uiPriority w:val="0"/>
    <w:tblPr>
      <w:tblCellMar>
        <w:top w:w="0" w:type="dxa"/>
        <w:left w:w="0" w:type="dxa"/>
        <w:bottom w:w="0" w:type="dxa"/>
        <w:right w:w="0" w:type="dxa"/>
      </w:tblCellMar>
    </w:tblPr>
  </w:style>
  <w:style w:type="paragraph" w:customStyle="1" w:styleId="30">
    <w:name w:val="Table Text"/>
    <w:basedOn w:val="1"/>
    <w:semiHidden/>
    <w:qFormat/>
    <w:uiPriority w:val="0"/>
    <w:rPr>
      <w:rFonts w:ascii="宋体" w:hAnsi="宋体" w:eastAsia="宋体" w:cs="宋体"/>
      <w:sz w:val="21"/>
      <w:szCs w:val="21"/>
      <w:lang w:val="en-US" w:eastAsia="en-US" w:bidi="ar-SA"/>
    </w:rPr>
  </w:style>
  <w:style w:type="paragraph" w:customStyle="1" w:styleId="31">
    <w:name w:val="柴_标题1"/>
    <w:basedOn w:val="2"/>
    <w:next w:val="32"/>
    <w:link w:val="41"/>
    <w:qFormat/>
    <w:uiPriority w:val="0"/>
    <w:pPr>
      <w:spacing w:before="100" w:after="90" w:line="360" w:lineRule="auto"/>
    </w:pPr>
    <w:rPr>
      <w:rFonts w:ascii="Arial" w:hAnsi="Arial" w:eastAsia="宋体"/>
      <w:sz w:val="32"/>
    </w:rPr>
  </w:style>
  <w:style w:type="paragraph" w:customStyle="1" w:styleId="32">
    <w:name w:val="柴_正文"/>
    <w:basedOn w:val="13"/>
    <w:link w:val="44"/>
    <w:qFormat/>
    <w:uiPriority w:val="0"/>
    <w:pPr>
      <w:spacing w:line="360" w:lineRule="auto"/>
      <w:ind w:firstLine="470" w:firstLineChars="200"/>
    </w:pPr>
    <w:rPr>
      <w:rFonts w:ascii="Arial" w:hAnsi="Arial" w:eastAsia="宋体"/>
      <w:sz w:val="24"/>
      <w:lang w:eastAsia="zh-CN"/>
    </w:rPr>
  </w:style>
  <w:style w:type="paragraph" w:customStyle="1" w:styleId="33">
    <w:name w:val="柴_标题2"/>
    <w:basedOn w:val="3"/>
    <w:next w:val="32"/>
    <w:link w:val="47"/>
    <w:qFormat/>
    <w:uiPriority w:val="0"/>
    <w:pPr>
      <w:spacing w:line="360" w:lineRule="auto"/>
    </w:pPr>
    <w:rPr>
      <w:rFonts w:ascii="Arial" w:hAnsi="Arial" w:eastAsia="宋体"/>
      <w:sz w:val="28"/>
    </w:rPr>
  </w:style>
  <w:style w:type="paragraph" w:customStyle="1" w:styleId="34">
    <w:name w:val="柴_标题3"/>
    <w:basedOn w:val="4"/>
    <w:next w:val="32"/>
    <w:qFormat/>
    <w:uiPriority w:val="0"/>
    <w:pPr>
      <w:spacing w:line="360" w:lineRule="auto"/>
      <w:ind w:left="0" w:firstLine="472" w:firstLineChars="200"/>
    </w:pPr>
    <w:rPr>
      <w:rFonts w:ascii="宋体" w:hAnsi="宋体" w:eastAsia="宋体" w:cs="宋体"/>
      <w:spacing w:val="-2"/>
      <w:sz w:val="24"/>
      <w:szCs w:val="24"/>
    </w:rPr>
  </w:style>
  <w:style w:type="paragraph" w:customStyle="1" w:styleId="35">
    <w:name w:val="柴_目录"/>
    <w:basedOn w:val="1"/>
    <w:next w:val="13"/>
    <w:qFormat/>
    <w:uiPriority w:val="0"/>
    <w:pPr>
      <w:tabs>
        <w:tab w:val="right" w:leader="dot" w:pos="8442"/>
      </w:tabs>
      <w:ind w:left="0" w:leftChars="0"/>
    </w:pPr>
    <w:rPr>
      <w:rFonts w:ascii="Arial" w:hAnsi="Arial" w:eastAsia="Microsoft JhengHei"/>
      <w:sz w:val="24"/>
    </w:rPr>
  </w:style>
  <w:style w:type="paragraph" w:customStyle="1" w:styleId="36">
    <w:name w:val="WPSOffice手动目录 1"/>
    <w:qFormat/>
    <w:uiPriority w:val="0"/>
    <w:pPr>
      <w:ind w:leftChars="0"/>
    </w:pPr>
    <w:rPr>
      <w:rFonts w:ascii="Times New Roman" w:hAnsi="Times New Roman" w:eastAsia="宋体" w:cs="Times New Roman"/>
      <w:sz w:val="20"/>
      <w:szCs w:val="20"/>
    </w:rPr>
  </w:style>
  <w:style w:type="paragraph" w:customStyle="1" w:styleId="37">
    <w:name w:val="WPSOffice手动目录 2"/>
    <w:qFormat/>
    <w:uiPriority w:val="0"/>
    <w:pPr>
      <w:ind w:leftChars="200"/>
    </w:pPr>
    <w:rPr>
      <w:rFonts w:ascii="Times New Roman" w:hAnsi="Times New Roman" w:eastAsia="宋体" w:cs="Times New Roman"/>
      <w:sz w:val="20"/>
      <w:szCs w:val="20"/>
    </w:rPr>
  </w:style>
  <w:style w:type="paragraph" w:customStyle="1" w:styleId="38">
    <w:name w:val="WPSOffice手动目录 3"/>
    <w:qFormat/>
    <w:uiPriority w:val="0"/>
    <w:pPr>
      <w:ind w:leftChars="400"/>
    </w:pPr>
    <w:rPr>
      <w:rFonts w:ascii="Times New Roman" w:hAnsi="Times New Roman" w:eastAsia="宋体" w:cs="Times New Roman"/>
      <w:sz w:val="20"/>
      <w:szCs w:val="20"/>
    </w:rPr>
  </w:style>
  <w:style w:type="paragraph" w:customStyle="1" w:styleId="39">
    <w:name w:val="Compact"/>
    <w:basedOn w:val="13"/>
    <w:qFormat/>
    <w:uiPriority w:val="0"/>
    <w:pPr>
      <w:spacing w:before="36" w:after="36"/>
    </w:pPr>
  </w:style>
  <w:style w:type="table" w:customStyle="1" w:styleId="40">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41">
    <w:name w:val="柴_标题1 Char"/>
    <w:link w:val="31"/>
    <w:qFormat/>
    <w:uiPriority w:val="0"/>
    <w:rPr>
      <w:rFonts w:ascii="Arial" w:hAnsi="Arial" w:eastAsia="宋体"/>
      <w:sz w:val="32"/>
    </w:rPr>
  </w:style>
  <w:style w:type="paragraph" w:customStyle="1" w:styleId="42">
    <w:name w:val="柴_正文_无缩进"/>
    <w:basedOn w:val="1"/>
    <w:link w:val="46"/>
    <w:qFormat/>
    <w:uiPriority w:val="0"/>
    <w:pPr>
      <w:ind w:firstLine="0" w:firstLineChars="0"/>
    </w:pPr>
    <w:rPr>
      <w:rFonts w:ascii="Arial" w:hAnsi="Arial"/>
      <w:sz w:val="24"/>
      <w:lang w:eastAsia="zh-CN"/>
    </w:rPr>
  </w:style>
  <w:style w:type="paragraph" w:customStyle="1" w:styleId="43">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4">
    <w:name w:val="柴_正文 Char"/>
    <w:link w:val="32"/>
    <w:qFormat/>
    <w:uiPriority w:val="0"/>
    <w:rPr>
      <w:rFonts w:ascii="Arial" w:hAnsi="Arial" w:eastAsia="宋体"/>
      <w:sz w:val="24"/>
      <w:lang w:eastAsia="zh-CN"/>
    </w:rPr>
  </w:style>
  <w:style w:type="table" w:customStyle="1" w:styleId="45">
    <w:name w:val="Table Normal_0_0"/>
    <w:semiHidden/>
    <w:unhideWhenUsed/>
    <w:qFormat/>
    <w:uiPriority w:val="0"/>
    <w:tblPr>
      <w:tblCellMar>
        <w:top w:w="0" w:type="dxa"/>
        <w:left w:w="0" w:type="dxa"/>
        <w:bottom w:w="0" w:type="dxa"/>
        <w:right w:w="0" w:type="dxa"/>
      </w:tblCellMar>
    </w:tblPr>
  </w:style>
  <w:style w:type="character" w:customStyle="1" w:styleId="46">
    <w:name w:val="柴_正文_无缩进 Char"/>
    <w:link w:val="42"/>
    <w:qFormat/>
    <w:uiPriority w:val="0"/>
    <w:rPr>
      <w:rFonts w:ascii="Arial" w:hAnsi="Arial"/>
      <w:sz w:val="24"/>
      <w:lang w:eastAsia="zh-CN"/>
    </w:rPr>
  </w:style>
  <w:style w:type="character" w:customStyle="1" w:styleId="47">
    <w:name w:val="柴_标题2 Char"/>
    <w:link w:val="33"/>
    <w:qFormat/>
    <w:uiPriority w:val="0"/>
    <w:rPr>
      <w:rFonts w:ascii="Arial" w:hAnsi="Arial" w:eastAsia="宋体"/>
      <w:sz w:val="28"/>
    </w:rPr>
  </w:style>
  <w:style w:type="character" w:customStyle="1" w:styleId="48">
    <w:name w:val="柴_题注 Char"/>
    <w:link w:val="49"/>
    <w:qFormat/>
    <w:uiPriority w:val="0"/>
  </w:style>
  <w:style w:type="paragraph" w:customStyle="1" w:styleId="49">
    <w:name w:val="柴_题注"/>
    <w:basedOn w:val="20"/>
    <w:link w:val="48"/>
    <w:qFormat/>
    <w:uiPriority w:val="0"/>
    <w:pPr>
      <w:pBdr>
        <w:top w:val="none" w:color="auto" w:sz="0" w:space="0"/>
        <w:left w:val="none" w:color="auto" w:sz="0" w:space="0"/>
        <w:bottom w:val="none" w:color="auto" w:sz="0" w:space="0"/>
        <w:right w:val="none" w:color="auto" w:sz="0" w:space="0"/>
      </w:pBdr>
      <w:wordWrap w:val="0"/>
      <w:spacing w:line="264" w:lineRule="atLeast"/>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29</Pages>
  <Words>2367</Words>
  <Characters>2830</Characters>
  <Lines>0</Lines>
  <Paragraphs>0</Paragraphs>
  <TotalTime>0</TotalTime>
  <ScaleCrop>false</ScaleCrop>
  <LinksUpToDate>false</LinksUpToDate>
  <CharactersWithSpaces>2995</CharactersWithSpaces>
  <Application>WPS Office_12.1.0.28505_F1E327BC-269C-435d-A152-05C5408002CA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2026-03-11T00:26:00Z</dcterms:created>
  <dc:creator>asus</dc:creator>
  <cp:lastModifiedBy>郝宇</cp:lastModifiedBy>
  <dcterms:modified xsi:type="dcterms:W3CDTF">2026-09-07T07:29:26Z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2E43BBD74DE24B969AB007409E1164F0_12</vt:lpwstr>
  </property>
  <property fmtid="{D5CDD505-2E9C-101B-9397-08002B2CF9AE}" pid="3" name="KSOProductBuildVer">
    <vt:lpwstr>2052-12.1.0.28505</vt:lpwstr>
  </property>
  <property fmtid="{D5CDD505-2E9C-101B-9397-08002B2CF9AE}" pid="4" name="KSOTemplateDocerSaveRecord">
    <vt:lpwstr>eyJoZGlkIjoiMDY5NmFjMmM4ZTljMGJiZDAxN2JmYTc0NGI0NmFiNDgiLCJ1c2VySWQiOiIxMDc1MzgyOSJ9</vt:lpwstr>
  </property>
</Properties>
</file>