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0681E">
      <w:pPr>
        <w:pStyle w:val="26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21958531">
      <w:pPr>
        <w:pStyle w:val="27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运维服务沟通管理制度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29182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318D63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549F8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SFKJ-ITSS-0406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62260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D5A40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6CDB4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A8C3F8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CE6DB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李勤锐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75B1D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A1715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1310E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73D64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C52FFA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26D232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60B202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119A9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53D2D0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F88EF6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EC2653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CF8E14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4AA77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7D9AF1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FD2736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68579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A82003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 w14:paraId="0BFB97EE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627FEC5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12B03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3359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53CB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4C16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EDD6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2BC9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67604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23264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EA56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DBB0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李勤锐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A8EC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F1884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00B6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4543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00A26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71C0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6775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BC7C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2CEF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A322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D3CB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41B5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C1DB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30D9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7BB5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8228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4351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53B1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39A4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56310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7855F294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5629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0EE92D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727D8C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_Toc20165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_Toc20165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6DB80F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_Toc30863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80333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_Toc13632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08C00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管理层</w:t>
          </w:r>
          <w:r>
            <w:tab/>
          </w:r>
          <w:r>
            <w:fldChar w:fldCharType="begin"/>
          </w:r>
          <w:r>
            <w:instrText xml:space="preserve"> PAGEREF _Toc306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A6FE8E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质量部</w:t>
          </w:r>
          <w:r>
            <w:tab/>
          </w:r>
          <w:r>
            <w:fldChar w:fldCharType="begin"/>
          </w:r>
          <w:r>
            <w:instrText xml:space="preserve"> PAGEREF _Toc18109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C93F5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运维部</w:t>
          </w:r>
          <w:r>
            <w:tab/>
          </w:r>
          <w:r>
            <w:fldChar w:fldCharType="begin"/>
          </w:r>
          <w:r>
            <w:instrText xml:space="preserve"> PAGEREF _Toc11176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45FE6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研发部</w:t>
          </w:r>
          <w:r>
            <w:tab/>
          </w:r>
          <w:r>
            <w:fldChar w:fldCharType="begin"/>
          </w:r>
          <w:r>
            <w:instrText xml:space="preserve"> PAGEREF _Toc1838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C07C72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服务台</w:t>
          </w:r>
          <w:r>
            <w:tab/>
          </w:r>
          <w:r>
            <w:fldChar w:fldCharType="begin"/>
          </w:r>
          <w:r>
            <w:instrText xml:space="preserve"> PAGEREF _Toc5371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786509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沟通方式</w:t>
          </w:r>
          <w:r>
            <w:tab/>
          </w:r>
          <w:r>
            <w:fldChar w:fldCharType="begin"/>
          </w:r>
          <w:r>
            <w:instrText xml:space="preserve"> PAGEREF _Toc3305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7CD893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沟通对象</w:t>
          </w:r>
          <w:r>
            <w:tab/>
          </w:r>
          <w:r>
            <w:fldChar w:fldCharType="begin"/>
          </w:r>
          <w:r>
            <w:instrText xml:space="preserve"> PAGEREF _Toc31181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6E9E2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沟通时机</w:t>
          </w:r>
          <w:r>
            <w:tab/>
          </w:r>
          <w:r>
            <w:fldChar w:fldCharType="begin"/>
          </w:r>
          <w:r>
            <w:instrText xml:space="preserve"> PAGEREF _Toc19210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388D5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沟通要求</w:t>
          </w:r>
          <w:r>
            <w:tab/>
          </w:r>
          <w:r>
            <w:fldChar w:fldCharType="begin"/>
          </w:r>
          <w:r>
            <w:instrText xml:space="preserve"> PAGEREF _Toc3527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978137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沟通计划</w:t>
          </w:r>
          <w:r>
            <w:tab/>
          </w:r>
          <w:r>
            <w:fldChar w:fldCharType="begin"/>
          </w:r>
          <w:r>
            <w:instrText xml:space="preserve"> PAGEREF _Toc26535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AD29C9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沟通记录</w:t>
          </w:r>
          <w:r>
            <w:tab/>
          </w:r>
          <w:r>
            <w:fldChar w:fldCharType="begin"/>
          </w:r>
          <w:r>
            <w:instrText xml:space="preserve"> PAGEREF _Toc25455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354BEE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投诉与建议处理</w:t>
          </w:r>
          <w:r>
            <w:tab/>
          </w:r>
          <w:r>
            <w:fldChar w:fldCharType="begin"/>
          </w:r>
          <w:r>
            <w:instrText xml:space="preserve"> PAGEREF _Toc17617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3C484B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沟通质量要求</w:t>
          </w:r>
          <w:r>
            <w:tab/>
          </w:r>
          <w:r>
            <w:fldChar w:fldCharType="begin"/>
          </w:r>
          <w:r>
            <w:instrText xml:space="preserve"> PAGEREF _Toc4015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3DA23D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7.5. 沟通改进</w:t>
          </w:r>
          <w:r>
            <w:tab/>
          </w:r>
          <w:r>
            <w:fldChar w:fldCharType="begin"/>
          </w:r>
          <w:r>
            <w:instrText xml:space="preserve"> PAGEREF _Toc23163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B04CF6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输出的文件和记录</w:t>
          </w:r>
          <w:r>
            <w:tab/>
          </w:r>
          <w:r>
            <w:fldChar w:fldCharType="begin"/>
          </w:r>
          <w:r>
            <w:instrText xml:space="preserve"> PAGEREF _Toc20116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D0607CB">
          <w:r>
            <w:fldChar w:fldCharType="end"/>
          </w:r>
        </w:p>
      </w:sdtContent>
    </w:sdt>
    <w:p w14:paraId="2064DB6F">
      <w:pPr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1891F8C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_Toc4350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沟通方式表</w:t>
      </w:r>
      <w:r>
        <w:tab/>
      </w:r>
      <w:r>
        <w:fldChar w:fldCharType="begin"/>
      </w:r>
      <w:r>
        <w:instrText xml:space="preserve"> PAGEREF _Toc4350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8BD4CF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_Toc4957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沟通对象表</w:t>
      </w:r>
      <w:r>
        <w:tab/>
      </w:r>
      <w:r>
        <w:fldChar w:fldCharType="begin"/>
      </w:r>
      <w:r>
        <w:instrText xml:space="preserve"> PAGEREF _Toc4957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12C3DB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_Toc3316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沟通时机表</w:t>
      </w:r>
      <w:r>
        <w:tab/>
      </w:r>
      <w:r>
        <w:fldChar w:fldCharType="begin"/>
      </w:r>
      <w:r>
        <w:instrText xml:space="preserve"> PAGEREF _Toc3316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8653A8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_Toc11188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_Toc11188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630CC23">
      <w:r>
        <w:fldChar w:fldCharType="end"/>
      </w:r>
    </w:p>
    <w:p w14:paraId="228ED2E5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40EB6F8">
      <w:pPr>
        <w:pStyle w:val="30"/>
        <w:bidi w:val="0"/>
        <w:rPr>
          <w:rFonts w:hint="default"/>
          <w:lang w:val="en-US" w:eastAsia="zh-CN"/>
        </w:rPr>
      </w:pPr>
      <w:bookmarkStart w:id="1" w:name="_Toc8521"/>
      <w:bookmarkStart w:id="2" w:name="_Toc20165"/>
      <w:r>
        <w:rPr>
          <w:rFonts w:hint="default"/>
          <w:lang w:val="en-US" w:eastAsia="zh-CN"/>
        </w:rPr>
        <w:t>目的</w:t>
      </w:r>
      <w:bookmarkEnd w:id="1"/>
      <w:bookmarkEnd w:id="2"/>
    </w:p>
    <w:p w14:paraId="3E9BECE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本制度旨在保证‌数飞科技(宁波)有限公司（以下简称“公司”）与客户及时、有效的沟通，准确识别和理解客户需求，及时传递服务信息，处理客户反馈，从而持续改进公司服务质量，提高客户满意度。</w:t>
      </w:r>
    </w:p>
    <w:p w14:paraId="356F6D2B">
      <w:pPr>
        <w:pStyle w:val="30"/>
        <w:bidi w:val="0"/>
        <w:rPr>
          <w:rFonts w:hint="default"/>
          <w:lang w:val="en-US" w:eastAsia="zh-CN"/>
        </w:rPr>
      </w:pPr>
      <w:bookmarkStart w:id="3" w:name="_Toc14662"/>
      <w:bookmarkStart w:id="4" w:name="_Toc30863"/>
      <w:r>
        <w:rPr>
          <w:rFonts w:hint="default"/>
          <w:lang w:val="en-US" w:eastAsia="zh-CN"/>
        </w:rPr>
        <w:t>范围</w:t>
      </w:r>
      <w:bookmarkEnd w:id="3"/>
      <w:bookmarkEnd w:id="4"/>
    </w:p>
    <w:p w14:paraId="689930C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本制度适用于公司运维服务全过程中与客户的沟通管理，覆盖所有运维服务客户及相关服务环节。</w:t>
      </w:r>
    </w:p>
    <w:p w14:paraId="01ACD230">
      <w:pPr>
        <w:pStyle w:val="30"/>
        <w:bidi w:val="0"/>
        <w:rPr>
          <w:rFonts w:hint="default"/>
          <w:lang w:val="en-US" w:eastAsia="zh-CN"/>
        </w:rPr>
      </w:pPr>
      <w:bookmarkStart w:id="5" w:name="_Toc12401"/>
      <w:bookmarkStart w:id="6" w:name="_Toc13632"/>
      <w:r>
        <w:rPr>
          <w:rFonts w:hint="default"/>
          <w:lang w:val="en-US" w:eastAsia="zh-CN"/>
        </w:rPr>
        <w:t>角色与职责</w:t>
      </w:r>
      <w:bookmarkEnd w:id="5"/>
      <w:bookmarkEnd w:id="6"/>
    </w:p>
    <w:p w14:paraId="78708339">
      <w:pPr>
        <w:pStyle w:val="32"/>
        <w:bidi w:val="0"/>
        <w:rPr>
          <w:rFonts w:hint="default"/>
          <w:lang w:val="en-US" w:eastAsia="zh-CN"/>
        </w:rPr>
      </w:pPr>
      <w:bookmarkStart w:id="7" w:name="_Toc9530"/>
      <w:bookmarkStart w:id="8" w:name="_Toc306"/>
      <w:r>
        <w:rPr>
          <w:rFonts w:hint="default"/>
          <w:lang w:val="en-US" w:eastAsia="zh-CN"/>
        </w:rPr>
        <w:t>管理层</w:t>
      </w:r>
      <w:bookmarkEnd w:id="7"/>
      <w:bookmarkEnd w:id="8"/>
    </w:p>
    <w:p w14:paraId="23E790C3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负责定期与重要客户的高层进行信息交流和决策层沟通。</w:t>
      </w:r>
    </w:p>
    <w:p w14:paraId="7F768175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参与重大合同、重要事项的客户沟通。</w:t>
      </w:r>
    </w:p>
    <w:p w14:paraId="0AB3998A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处理重大客户投诉和突发事件的高层协调。</w:t>
      </w:r>
    </w:p>
    <w:p w14:paraId="34CF3CA8">
      <w:pPr>
        <w:pStyle w:val="32"/>
        <w:bidi w:val="0"/>
        <w:rPr>
          <w:rFonts w:hint="default"/>
          <w:lang w:val="en-US" w:eastAsia="zh-CN"/>
        </w:rPr>
      </w:pPr>
      <w:bookmarkStart w:id="9" w:name="_Toc12529"/>
      <w:bookmarkStart w:id="10" w:name="_Toc18109"/>
      <w:r>
        <w:rPr>
          <w:rFonts w:hint="default"/>
          <w:lang w:val="en-US" w:eastAsia="zh-CN"/>
        </w:rPr>
        <w:t>质量部</w:t>
      </w:r>
      <w:bookmarkEnd w:id="9"/>
      <w:bookmarkEnd w:id="10"/>
    </w:p>
    <w:p w14:paraId="6B5AE6F8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负责本制度的制定、解释和修订。</w:t>
      </w:r>
    </w:p>
    <w:p w14:paraId="48EA50A7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负责组织级客户沟通的计划制定和执行监督。</w:t>
      </w:r>
    </w:p>
    <w:p w14:paraId="0D11A225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负责《年度沟通计划》的编制和发布。</w:t>
      </w:r>
    </w:p>
    <w:p w14:paraId="53F01B4E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负责客户满意度调查结果的沟通反馈。</w:t>
      </w:r>
    </w:p>
    <w:p w14:paraId="5075631A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负责沟通记录的归档管理。</w:t>
      </w:r>
    </w:p>
    <w:p w14:paraId="470F7E9B">
      <w:pPr>
        <w:pStyle w:val="32"/>
        <w:bidi w:val="0"/>
        <w:rPr>
          <w:rFonts w:hint="default"/>
          <w:lang w:val="en-US" w:eastAsia="zh-CN"/>
        </w:rPr>
      </w:pPr>
      <w:bookmarkStart w:id="11" w:name="_Toc11176"/>
      <w:bookmarkStart w:id="12" w:name="_Toc9409"/>
      <w:r>
        <w:rPr>
          <w:rFonts w:hint="default"/>
          <w:lang w:val="en-US" w:eastAsia="zh-CN"/>
        </w:rPr>
        <w:t>运维部</w:t>
      </w:r>
      <w:bookmarkEnd w:id="11"/>
      <w:bookmarkEnd w:id="12"/>
    </w:p>
    <w:p w14:paraId="06DE899E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负责签订合同（SLA）前与客户的技术沟通和需求确认。</w:t>
      </w:r>
    </w:p>
    <w:p w14:paraId="047C57ED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负责合同到期续签时与客户的沟通协调。</w:t>
      </w:r>
    </w:p>
    <w:p w14:paraId="3894E9C9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负责服务请求、故障处理、客户投诉发生后的及时沟通。</w:t>
      </w:r>
    </w:p>
    <w:p w14:paraId="75AFD4D2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负责运维项目关键节点和结项后的客户沟通。</w:t>
      </w:r>
    </w:p>
    <w:p w14:paraId="32DCA81C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负责运维过程中SLA执行情况、事件处理情况、服务报告提交等日常沟通。</w:t>
      </w:r>
    </w:p>
    <w:p w14:paraId="27F91603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负责运维过程中应急保障时的客户沟通。</w:t>
      </w:r>
    </w:p>
    <w:p w14:paraId="2B106204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负责定期向客户提交服务报告并进行解读沟通。</w:t>
      </w:r>
    </w:p>
    <w:p w14:paraId="78670C11">
      <w:pPr>
        <w:pStyle w:val="32"/>
        <w:bidi w:val="0"/>
        <w:rPr>
          <w:rFonts w:hint="default"/>
          <w:lang w:val="en-US" w:eastAsia="zh-CN"/>
        </w:rPr>
      </w:pPr>
      <w:bookmarkStart w:id="13" w:name="_Toc1838"/>
      <w:bookmarkStart w:id="14" w:name="_Toc17634"/>
      <w:r>
        <w:rPr>
          <w:rFonts w:hint="default"/>
          <w:lang w:val="en-US" w:eastAsia="zh-CN"/>
        </w:rPr>
        <w:t>研发部</w:t>
      </w:r>
      <w:bookmarkEnd w:id="13"/>
      <w:bookmarkEnd w:id="14"/>
    </w:p>
    <w:p w14:paraId="1D9A36B6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负责涉及技术方案、技术难题的客户沟通。</w:t>
      </w:r>
    </w:p>
    <w:p w14:paraId="5C54935A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负责新技术应用、系统升级等事项的技术解释沟通。</w:t>
      </w:r>
    </w:p>
    <w:p w14:paraId="2B3C6DC9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配合运维部进行重大技术问题的客户沟通。</w:t>
      </w:r>
    </w:p>
    <w:p w14:paraId="32B25BAF">
      <w:pPr>
        <w:pStyle w:val="32"/>
        <w:bidi w:val="0"/>
        <w:rPr>
          <w:rFonts w:hint="default"/>
          <w:lang w:val="en-US" w:eastAsia="zh-CN"/>
        </w:rPr>
      </w:pPr>
      <w:bookmarkStart w:id="15" w:name="_Toc5371"/>
      <w:bookmarkStart w:id="16" w:name="_Toc28801"/>
      <w:r>
        <w:rPr>
          <w:rFonts w:hint="default"/>
          <w:lang w:val="en-US" w:eastAsia="zh-CN"/>
        </w:rPr>
        <w:t>服务台</w:t>
      </w:r>
      <w:bookmarkEnd w:id="15"/>
      <w:bookmarkEnd w:id="16"/>
    </w:p>
    <w:p w14:paraId="45F63B35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负责记录客户的意见、投诉及建议，并准确记录、分类后反馈给相关部门处理。</w:t>
      </w:r>
    </w:p>
    <w:p w14:paraId="7FD9CEC9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负责将处理结果及时反馈给客户。</w:t>
      </w:r>
    </w:p>
    <w:p w14:paraId="21C429BA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负责事件解决后的电话回访和满意度调查沟通。</w:t>
      </w:r>
    </w:p>
    <w:p w14:paraId="0A44A403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负责投诉处理完成后的回访沟通。</w:t>
      </w:r>
    </w:p>
    <w:p w14:paraId="751A08D2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作为日常服务请求的统一沟通接口。</w:t>
      </w:r>
    </w:p>
    <w:p w14:paraId="52348AD6">
      <w:pPr>
        <w:pStyle w:val="30"/>
        <w:bidi w:val="0"/>
        <w:rPr>
          <w:rFonts w:hint="default"/>
          <w:lang w:val="en-US" w:eastAsia="zh-CN"/>
        </w:rPr>
      </w:pPr>
      <w:bookmarkStart w:id="17" w:name="_Toc3305"/>
      <w:bookmarkStart w:id="18" w:name="_Toc3473"/>
      <w:r>
        <w:rPr>
          <w:rFonts w:hint="default"/>
          <w:lang w:val="en-US" w:eastAsia="zh-CN"/>
        </w:rPr>
        <w:t>沟通方式</w:t>
      </w:r>
      <w:bookmarkEnd w:id="17"/>
      <w:bookmarkEnd w:id="18"/>
    </w:p>
    <w:p w14:paraId="73DD3D82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根据沟通内容、紧急程度和客户偏好，采用以下一种或多种沟通方式</w:t>
      </w:r>
      <w:r>
        <w:rPr>
          <w:rFonts w:hint="eastAsia"/>
          <w:lang w:val="en-US" w:eastAsia="zh-CN"/>
        </w:rPr>
        <w:t>。沟通方式如表4-1所示</w:t>
      </w:r>
    </w:p>
    <w:p w14:paraId="3B4FA4F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4350"/>
      <w:r>
        <w:rPr>
          <w:rFonts w:hint="eastAsia"/>
          <w:lang w:val="en-US" w:eastAsia="zh-CN"/>
        </w:rPr>
        <w:t xml:space="preserve"> 沟通方式表</w:t>
      </w:r>
      <w:bookmarkEnd w:id="19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7"/>
        <w:gridCol w:w="4952"/>
        <w:gridCol w:w="2423"/>
      </w:tblGrid>
      <w:tr w14:paraId="3C322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BDA28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沟通方式</w:t>
            </w:r>
          </w:p>
        </w:tc>
        <w:tc>
          <w:tcPr>
            <w:tcW w:w="49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514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适用场景</w:t>
            </w:r>
          </w:p>
        </w:tc>
        <w:tc>
          <w:tcPr>
            <w:tcW w:w="24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099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 w14:paraId="3595E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0EBB8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会议沟通</w:t>
            </w:r>
          </w:p>
        </w:tc>
        <w:tc>
          <w:tcPr>
            <w:tcW w:w="4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049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项目启动、阶段汇报、年度总结、重大事项讨论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3384A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管理层、运维部、质量部</w:t>
            </w:r>
          </w:p>
        </w:tc>
      </w:tr>
      <w:tr w14:paraId="5E9EE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60566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邮件沟通</w:t>
            </w:r>
          </w:p>
        </w:tc>
        <w:tc>
          <w:tcPr>
            <w:tcW w:w="4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7D5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服务报告发送、正式通知、文件传递、会议纪要确认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C2F7D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运维部、质量部</w:t>
            </w:r>
          </w:p>
        </w:tc>
      </w:tr>
      <w:tr w14:paraId="045FB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FBAD9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电话沟通</w:t>
            </w:r>
          </w:p>
        </w:tc>
        <w:tc>
          <w:tcPr>
            <w:tcW w:w="4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219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日常事务协调、紧急事件通报、简单问题确认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77DBE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服务台、运维部</w:t>
            </w:r>
          </w:p>
        </w:tc>
      </w:tr>
      <w:tr w14:paraId="0BD27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3CC5A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即时通讯</w:t>
            </w:r>
          </w:p>
        </w:tc>
        <w:tc>
          <w:tcPr>
            <w:tcW w:w="4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6F3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日常沟通、快速反馈、简单咨询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FF124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服务台、运维部</w:t>
            </w:r>
          </w:p>
        </w:tc>
      </w:tr>
      <w:tr w14:paraId="66C72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2E1E6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定期拜访</w:t>
            </w:r>
          </w:p>
        </w:tc>
        <w:tc>
          <w:tcPr>
            <w:tcW w:w="4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7D6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重要客户关系维护、满意度调研、需求收集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A6087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管理层、运维部</w:t>
            </w:r>
          </w:p>
        </w:tc>
      </w:tr>
      <w:tr w14:paraId="0B701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5D563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书面报告</w:t>
            </w:r>
          </w:p>
        </w:tc>
        <w:tc>
          <w:tcPr>
            <w:tcW w:w="4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B05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定期服务报告、事件报告、总结报告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5B5A1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运维部、质量部</w:t>
            </w:r>
          </w:p>
        </w:tc>
      </w:tr>
      <w:tr w14:paraId="5DDC8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8FDA1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现场沟通</w:t>
            </w:r>
          </w:p>
        </w:tc>
        <w:tc>
          <w:tcPr>
            <w:tcW w:w="49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EAA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故障处理、现场服务、技术交流</w:t>
            </w:r>
          </w:p>
        </w:tc>
        <w:tc>
          <w:tcPr>
            <w:tcW w:w="24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2E374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运维部、研发部</w:t>
            </w:r>
          </w:p>
        </w:tc>
      </w:tr>
    </w:tbl>
    <w:p w14:paraId="75793402">
      <w:pPr>
        <w:pStyle w:val="30"/>
        <w:bidi w:val="0"/>
        <w:rPr>
          <w:rFonts w:hint="default"/>
          <w:lang w:val="en-US" w:eastAsia="zh-CN"/>
        </w:rPr>
      </w:pPr>
      <w:bookmarkStart w:id="20" w:name="_Toc19139"/>
      <w:bookmarkStart w:id="21" w:name="_Toc31181"/>
      <w:r>
        <w:rPr>
          <w:rFonts w:hint="default"/>
          <w:lang w:val="en-US" w:eastAsia="zh-CN"/>
        </w:rPr>
        <w:t>沟通对象</w:t>
      </w:r>
      <w:bookmarkEnd w:id="20"/>
      <w:bookmarkEnd w:id="21"/>
    </w:p>
    <w:p w14:paraId="1606382B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根据沟通内容和层级，明确沟通对象及对应责任人</w:t>
      </w:r>
      <w:r>
        <w:rPr>
          <w:rFonts w:hint="eastAsia"/>
          <w:lang w:val="en-US" w:eastAsia="zh-CN"/>
        </w:rPr>
        <w:t>，具体对应关系如表5-1所示</w:t>
      </w:r>
    </w:p>
    <w:p w14:paraId="191EF59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2" w:name="_Toc4957"/>
      <w:r>
        <w:rPr>
          <w:rFonts w:hint="eastAsia"/>
          <w:lang w:val="en-US" w:eastAsia="zh-CN"/>
        </w:rPr>
        <w:t xml:space="preserve"> 沟通对象表</w:t>
      </w:r>
      <w:bookmarkEnd w:id="22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7"/>
        <w:gridCol w:w="5071"/>
        <w:gridCol w:w="1914"/>
      </w:tblGrid>
      <w:tr w14:paraId="75F20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FCD13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沟通对象</w:t>
            </w:r>
          </w:p>
        </w:tc>
        <w:tc>
          <w:tcPr>
            <w:tcW w:w="50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8B5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沟通内容</w:t>
            </w:r>
          </w:p>
        </w:tc>
        <w:tc>
          <w:tcPr>
            <w:tcW w:w="191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F48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</w:tr>
      <w:tr w14:paraId="12363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E3D37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客户方高层/分管领导</w:t>
            </w:r>
          </w:p>
        </w:tc>
        <w:tc>
          <w:tcPr>
            <w:tcW w:w="50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50C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战略合作、重大事项决策、年度总结、重大投诉处理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A1DD5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管理层</w:t>
            </w:r>
          </w:p>
        </w:tc>
      </w:tr>
      <w:tr w14:paraId="30362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E93D6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客户方项目管理人员</w:t>
            </w:r>
          </w:p>
        </w:tc>
        <w:tc>
          <w:tcPr>
            <w:tcW w:w="50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EA6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合同执行、SLA达成情况、项目进度、服务报告解读、变更沟通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E383A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运维部经理、项目经理</w:t>
            </w:r>
          </w:p>
        </w:tc>
      </w:tr>
      <w:tr w14:paraId="3051E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77872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客户方技术负责人</w:t>
            </w:r>
          </w:p>
        </w:tc>
        <w:tc>
          <w:tcPr>
            <w:tcW w:w="50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AD38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技术方案、技术难题、系统升级、运维工具对接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86701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研发部、运维部</w:t>
            </w:r>
          </w:p>
        </w:tc>
      </w:tr>
      <w:tr w14:paraId="6DE6F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C451A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客户方使用人员</w:t>
            </w:r>
          </w:p>
        </w:tc>
        <w:tc>
          <w:tcPr>
            <w:tcW w:w="50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346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日常操作咨询、故障申报、服务请求、使用反馈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271E0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服务台、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</w:tr>
      <w:tr w14:paraId="13F7D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37233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客户方采购/商务人员</w:t>
            </w:r>
          </w:p>
        </w:tc>
        <w:tc>
          <w:tcPr>
            <w:tcW w:w="50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416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合同续签、商务条款、费用结算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138C3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运维部、管理层</w:t>
            </w:r>
          </w:p>
        </w:tc>
      </w:tr>
    </w:tbl>
    <w:p w14:paraId="5060D99F">
      <w:pPr>
        <w:pStyle w:val="30"/>
        <w:bidi w:val="0"/>
        <w:rPr>
          <w:rFonts w:hint="default"/>
          <w:lang w:val="en-US" w:eastAsia="zh-CN"/>
        </w:rPr>
      </w:pPr>
      <w:bookmarkStart w:id="23" w:name="_Toc19210"/>
      <w:bookmarkStart w:id="24" w:name="_Toc14711"/>
      <w:r>
        <w:rPr>
          <w:rFonts w:hint="default"/>
          <w:lang w:val="en-US" w:eastAsia="zh-CN"/>
        </w:rPr>
        <w:t>沟通时机</w:t>
      </w:r>
      <w:bookmarkEnd w:id="23"/>
      <w:bookmarkEnd w:id="24"/>
    </w:p>
    <w:p w14:paraId="7DBF46D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3316"/>
      <w:r>
        <w:rPr>
          <w:rFonts w:hint="eastAsia"/>
          <w:lang w:val="en-US" w:eastAsia="zh-CN"/>
        </w:rPr>
        <w:t xml:space="preserve"> 沟通时机表</w:t>
      </w:r>
      <w:bookmarkEnd w:id="25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7"/>
        <w:gridCol w:w="5334"/>
        <w:gridCol w:w="2041"/>
      </w:tblGrid>
      <w:tr w14:paraId="46FB9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359E1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沟通时机</w:t>
            </w:r>
          </w:p>
        </w:tc>
        <w:tc>
          <w:tcPr>
            <w:tcW w:w="53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036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沟通内容</w:t>
            </w:r>
          </w:p>
        </w:tc>
        <w:tc>
          <w:tcPr>
            <w:tcW w:w="20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FEB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</w:tr>
      <w:tr w14:paraId="391BB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04FD8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合同阶段</w:t>
            </w:r>
          </w:p>
        </w:tc>
        <w:tc>
          <w:tcPr>
            <w:tcW w:w="53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538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合同签署前需求确认、合同变更沟通、合同到期续签沟通</w:t>
            </w:r>
          </w:p>
        </w:tc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0966D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运维部、管理层</w:t>
            </w:r>
          </w:p>
        </w:tc>
      </w:tr>
      <w:tr w14:paraId="3FD60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C2EF5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定期沟通</w:t>
            </w:r>
          </w:p>
        </w:tc>
        <w:tc>
          <w:tcPr>
            <w:tcW w:w="53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3CC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每季度服务报告沟通、半年度回顾、每年度总结沟通</w:t>
            </w:r>
          </w:p>
        </w:tc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99DD2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运维部、质量部</w:t>
            </w:r>
          </w:p>
        </w:tc>
      </w:tr>
      <w:tr w14:paraId="632F6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D4E0C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事件驱动</w:t>
            </w:r>
          </w:p>
        </w:tc>
        <w:tc>
          <w:tcPr>
            <w:tcW w:w="53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C98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重大故障处理过程通报、故障解决后反馈、投诉处理沟通</w:t>
            </w:r>
          </w:p>
        </w:tc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250EC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运维部、服务台</w:t>
            </w:r>
          </w:p>
        </w:tc>
      </w:tr>
      <w:tr w14:paraId="63911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C7C5B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服务请求</w:t>
            </w:r>
          </w:p>
        </w:tc>
        <w:tc>
          <w:tcPr>
            <w:tcW w:w="53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D38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服务请求受理确认、处理进展通报、完成反馈</w:t>
            </w:r>
          </w:p>
        </w:tc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CCB6C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</w:tr>
      <w:tr w14:paraId="6379C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2D388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项目节点</w:t>
            </w:r>
          </w:p>
        </w:tc>
        <w:tc>
          <w:tcPr>
            <w:tcW w:w="53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425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项目启动、关键节点汇报、项目验收沟通</w:t>
            </w:r>
          </w:p>
        </w:tc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22D2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 w14:paraId="1CFEE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A6584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应急保障</w:t>
            </w:r>
          </w:p>
        </w:tc>
        <w:tc>
          <w:tcPr>
            <w:tcW w:w="53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2D5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应急预案启动通报、应急处置进展、恢复后确认</w:t>
            </w:r>
          </w:p>
        </w:tc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F6803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应急管理部、运维部</w:t>
            </w:r>
          </w:p>
        </w:tc>
      </w:tr>
      <w:tr w14:paraId="24682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25A58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例行回访</w:t>
            </w:r>
          </w:p>
        </w:tc>
        <w:tc>
          <w:tcPr>
            <w:tcW w:w="53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2CA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事件解决后回访、投诉处理后回访、定期满意度回访</w:t>
            </w:r>
          </w:p>
        </w:tc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DB20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</w:tr>
      <w:tr w14:paraId="377DF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4A440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高层沟通</w:t>
            </w:r>
          </w:p>
        </w:tc>
        <w:tc>
          <w:tcPr>
            <w:tcW w:w="53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689C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每年度至少一次正式高层沟通，重大事项随时沟通</w:t>
            </w:r>
          </w:p>
        </w:tc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EC705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管理层</w:t>
            </w:r>
          </w:p>
        </w:tc>
      </w:tr>
    </w:tbl>
    <w:p w14:paraId="76E30236">
      <w:pPr>
        <w:pStyle w:val="30"/>
        <w:bidi w:val="0"/>
        <w:rPr>
          <w:rFonts w:hint="default"/>
          <w:lang w:val="en-US" w:eastAsia="zh-CN"/>
        </w:rPr>
      </w:pPr>
      <w:bookmarkStart w:id="26" w:name="_Toc3527"/>
      <w:bookmarkStart w:id="27" w:name="_Toc4142"/>
      <w:r>
        <w:rPr>
          <w:rFonts w:hint="default"/>
          <w:lang w:val="en-US" w:eastAsia="zh-CN"/>
        </w:rPr>
        <w:t>沟通要求</w:t>
      </w:r>
      <w:bookmarkEnd w:id="26"/>
      <w:bookmarkEnd w:id="27"/>
    </w:p>
    <w:p w14:paraId="7B622CE5">
      <w:pPr>
        <w:pStyle w:val="32"/>
        <w:bidi w:val="0"/>
        <w:rPr>
          <w:rFonts w:hint="default"/>
          <w:lang w:val="en-US" w:eastAsia="zh-CN"/>
        </w:rPr>
      </w:pPr>
      <w:bookmarkStart w:id="28" w:name="_Toc8834"/>
      <w:bookmarkStart w:id="29" w:name="_Toc26535"/>
      <w:r>
        <w:rPr>
          <w:rFonts w:hint="default"/>
          <w:lang w:val="en-US" w:eastAsia="zh-CN"/>
        </w:rPr>
        <w:t>沟通计划</w:t>
      </w:r>
      <w:bookmarkEnd w:id="28"/>
      <w:bookmarkEnd w:id="29"/>
    </w:p>
    <w:p w14:paraId="48F04D3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质量部应于每年</w:t>
      </w:r>
      <w:r>
        <w:rPr>
          <w:rFonts w:hint="eastAsia"/>
          <w:lang w:val="en-US" w:eastAsia="zh-CN"/>
        </w:rPr>
        <w:t>年初</w:t>
      </w:r>
      <w:r>
        <w:rPr>
          <w:rFonts w:hint="default"/>
          <w:lang w:val="en-US" w:eastAsia="zh-CN"/>
        </w:rPr>
        <w:t>制定《年度沟通计划》，明确本年度客户沟通安排，包括：</w:t>
      </w:r>
    </w:p>
    <w:p w14:paraId="5C0CF6C3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定期沟通的时间安排（季度沟通、半年度回顾、年度总结）</w:t>
      </w:r>
    </w:p>
    <w:p w14:paraId="53CAD117">
      <w:pPr>
        <w:pStyle w:val="41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重要客户的高层拜访计划</w:t>
      </w:r>
    </w:p>
    <w:p w14:paraId="4987ECE0">
      <w:pPr>
        <w:pStyle w:val="41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满意度调查及回访计划</w:t>
      </w:r>
    </w:p>
    <w:p w14:paraId="6FC53386">
      <w:pPr>
        <w:pStyle w:val="41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服务报告提交计划</w:t>
      </w:r>
    </w:p>
    <w:p w14:paraId="5BEA679B">
      <w:pPr>
        <w:pStyle w:val="41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客户培训或交流活动计划</w:t>
      </w:r>
    </w:p>
    <w:p w14:paraId="776EE24D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《年度沟通计划》经管理层审批后执行，并根据实际情况适时调整。</w:t>
      </w:r>
    </w:p>
    <w:p w14:paraId="1E6F82AF">
      <w:pPr>
        <w:pStyle w:val="32"/>
        <w:bidi w:val="0"/>
        <w:rPr>
          <w:rFonts w:hint="default"/>
          <w:lang w:val="en-US" w:eastAsia="zh-CN"/>
        </w:rPr>
      </w:pPr>
      <w:bookmarkStart w:id="30" w:name="_Toc27472"/>
      <w:bookmarkStart w:id="31" w:name="_Toc25455"/>
      <w:r>
        <w:rPr>
          <w:rFonts w:hint="default"/>
          <w:lang w:val="en-US" w:eastAsia="zh-CN"/>
        </w:rPr>
        <w:t>沟通记录</w:t>
      </w:r>
      <w:bookmarkEnd w:id="30"/>
      <w:bookmarkEnd w:id="31"/>
    </w:p>
    <w:p w14:paraId="4972802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每次重要沟通（会议、拜访、正式汇报）应形成《沟通记录》，内容包括：</w:t>
      </w:r>
    </w:p>
    <w:p w14:paraId="076FFE16">
      <w:pPr>
        <w:pStyle w:val="31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沟通时间、地点、参与人员</w:t>
      </w:r>
    </w:p>
    <w:p w14:paraId="79148D6E">
      <w:pPr>
        <w:pStyle w:val="31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沟通主题和内容</w:t>
      </w:r>
    </w:p>
    <w:p w14:paraId="4D2925B4">
      <w:pPr>
        <w:pStyle w:val="31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客户提出的意见、建议或需求</w:t>
      </w:r>
    </w:p>
    <w:p w14:paraId="2977F35C">
      <w:pPr>
        <w:pStyle w:val="31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达成的共识和结论</w:t>
      </w:r>
    </w:p>
    <w:p w14:paraId="44474B46">
      <w:pPr>
        <w:pStyle w:val="31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后续行动计划及责任人</w:t>
      </w:r>
    </w:p>
    <w:p w14:paraId="53CBDF1B">
      <w:pPr>
        <w:pStyle w:val="31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下次沟通安排（如有）</w:t>
      </w:r>
    </w:p>
    <w:p w14:paraId="2663FE3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《沟通记录》应在沟通结束后3个工作日内完成，经客户确认（如需）后归档。</w:t>
      </w:r>
    </w:p>
    <w:p w14:paraId="2B1F5696">
      <w:pPr>
        <w:pStyle w:val="32"/>
        <w:bidi w:val="0"/>
        <w:rPr>
          <w:rFonts w:hint="default"/>
          <w:lang w:val="en-US" w:eastAsia="zh-CN"/>
        </w:rPr>
      </w:pPr>
      <w:bookmarkStart w:id="32" w:name="_Toc2038"/>
      <w:bookmarkStart w:id="33" w:name="_Toc17617"/>
      <w:r>
        <w:rPr>
          <w:rFonts w:hint="default"/>
          <w:lang w:val="en-US" w:eastAsia="zh-CN"/>
        </w:rPr>
        <w:t>投诉与建议处理</w:t>
      </w:r>
      <w:bookmarkEnd w:id="32"/>
      <w:bookmarkEnd w:id="33"/>
    </w:p>
    <w:p w14:paraId="244D6A5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服务台接到客户投诉或建议后，应在1小时内响应，记录并转交相关部门处理。</w:t>
      </w:r>
    </w:p>
    <w:p w14:paraId="73A7F31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责任部门应在24小时内提出处理方案，并反馈给服务台。</w:t>
      </w:r>
    </w:p>
    <w:p w14:paraId="1AD8838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服务台在投诉处理完成后3个工作日内进行回访，确认客户满意度和改进效果。</w:t>
      </w:r>
    </w:p>
    <w:p w14:paraId="6BA0CFE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投诉及建议的处理过程和结果应记录在《客户投诉处理记录表》中，并作为改进输入。</w:t>
      </w:r>
    </w:p>
    <w:p w14:paraId="3B1E6F37">
      <w:pPr>
        <w:pStyle w:val="32"/>
        <w:bidi w:val="0"/>
        <w:rPr>
          <w:rFonts w:hint="default"/>
          <w:lang w:val="en-US" w:eastAsia="zh-CN"/>
        </w:rPr>
      </w:pPr>
      <w:bookmarkStart w:id="34" w:name="_Toc4015"/>
      <w:bookmarkStart w:id="35" w:name="_Toc10629"/>
      <w:r>
        <w:rPr>
          <w:rFonts w:hint="default"/>
          <w:lang w:val="en-US" w:eastAsia="zh-CN"/>
        </w:rPr>
        <w:t>沟通质量要求</w:t>
      </w:r>
      <w:bookmarkEnd w:id="34"/>
      <w:bookmarkEnd w:id="35"/>
    </w:p>
    <w:p w14:paraId="5E26DBE0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及时性：各类沟通应在规定时限内响应和完成。</w:t>
      </w:r>
    </w:p>
    <w:p w14:paraId="2A09D18A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准确性：传递的信息应准确、完整、清晰。</w:t>
      </w:r>
    </w:p>
    <w:p w14:paraId="13E638C1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专业性：沟通人员应具备良好的专业素养和沟通技巧。</w:t>
      </w:r>
    </w:p>
    <w:p w14:paraId="0BDDE560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记录完整性：重要沟通必须有记录，确保可追溯。</w:t>
      </w:r>
    </w:p>
    <w:p w14:paraId="0923FE20">
      <w:pPr>
        <w:pStyle w:val="4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闭环管理：客户提出的问题、需求、投诉应有反馈、有处理、有验证。</w:t>
      </w:r>
    </w:p>
    <w:p w14:paraId="3892BEF9">
      <w:pPr>
        <w:pStyle w:val="32"/>
        <w:bidi w:val="0"/>
        <w:rPr>
          <w:rFonts w:hint="default"/>
          <w:lang w:val="en-US" w:eastAsia="zh-CN"/>
        </w:rPr>
      </w:pPr>
      <w:bookmarkStart w:id="36" w:name="_Toc23163"/>
      <w:bookmarkStart w:id="37" w:name="_Toc2114"/>
      <w:r>
        <w:rPr>
          <w:rFonts w:hint="default"/>
          <w:lang w:val="en-US" w:eastAsia="zh-CN"/>
        </w:rPr>
        <w:t>沟通改进</w:t>
      </w:r>
      <w:bookmarkEnd w:id="36"/>
      <w:bookmarkEnd w:id="37"/>
    </w:p>
    <w:p w14:paraId="19A6A87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质量部应定期分析沟通记录，识别沟通中存在的问题和改进机会，纳入质量改进流程。常见沟通问题包括：</w:t>
      </w:r>
    </w:p>
    <w:p w14:paraId="1E57E6D5">
      <w:pPr>
        <w:pStyle w:val="3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信息传递不及时、不准确</w:t>
      </w:r>
    </w:p>
    <w:p w14:paraId="769DB059">
      <w:pPr>
        <w:pStyle w:val="3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客户需求未有效传递到内部</w:t>
      </w:r>
    </w:p>
    <w:p w14:paraId="0683E89C">
      <w:pPr>
        <w:pStyle w:val="3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沟通渠道不畅通</w:t>
      </w:r>
    </w:p>
    <w:p w14:paraId="30700557">
      <w:pPr>
        <w:pStyle w:val="3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沟通记录不完整</w:t>
      </w:r>
    </w:p>
    <w:p w14:paraId="3C693E0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改进措施应纳入《改进管理制度》跟踪落实。</w:t>
      </w:r>
    </w:p>
    <w:p w14:paraId="63D3C622">
      <w:pPr>
        <w:pStyle w:val="30"/>
        <w:bidi w:val="0"/>
        <w:rPr>
          <w:rFonts w:hint="default"/>
          <w:lang w:val="en-US" w:eastAsia="zh-CN"/>
        </w:rPr>
      </w:pPr>
      <w:bookmarkStart w:id="38" w:name="_Toc20116"/>
      <w:bookmarkStart w:id="39" w:name="_Toc25596"/>
      <w:r>
        <w:rPr>
          <w:rFonts w:hint="default"/>
          <w:lang w:val="en-US" w:eastAsia="zh-CN"/>
        </w:rPr>
        <w:t>输出的文件和记录</w:t>
      </w:r>
      <w:bookmarkEnd w:id="38"/>
      <w:bookmarkEnd w:id="39"/>
    </w:p>
    <w:p w14:paraId="1B805C04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运维沟通</w:t>
      </w:r>
      <w:r>
        <w:rPr>
          <w:rFonts w:hint="default"/>
          <w:lang w:val="en-US" w:eastAsia="zh-CN"/>
        </w:rPr>
        <w:t>相关文件和记录如表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-1所示。</w:t>
      </w:r>
    </w:p>
    <w:p w14:paraId="52631BF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bookmarkStart w:id="41" w:name="_GoBack"/>
      <w:bookmarkEnd w:id="41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11188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bookmarkEnd w:id="40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7"/>
        <w:gridCol w:w="2504"/>
        <w:gridCol w:w="1891"/>
      </w:tblGrid>
      <w:tr w14:paraId="4CC27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12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58BFD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5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C6C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189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C3D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 w14:paraId="577D4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9365E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《年度沟通计划》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474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88594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4109F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66C44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《沟通记录》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E7F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E7926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7EA84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4D75B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《客户投诉处理记录表》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6BA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CFF77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07A22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CEBE3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《会议纪要》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9A3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相关部门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7DB5D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 w14:paraId="4CD6A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287B4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《服务报告》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1E6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D83A8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 w14:paraId="5485C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3C9D9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《满意度调查回访记录》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EF6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FE1A5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2年</w:t>
            </w:r>
          </w:p>
        </w:tc>
      </w:tr>
      <w:tr w14:paraId="02416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1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63F89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《邮件/即时通讯沟通存档》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2F0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相关部门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EF3A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1年</w:t>
            </w:r>
          </w:p>
        </w:tc>
      </w:tr>
    </w:tbl>
    <w:p w14:paraId="40FCE496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348BA"/>
    <w:multiLevelType w:val="singleLevel"/>
    <w:tmpl w:val="841348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2F48315E"/>
    <w:multiLevelType w:val="singleLevel"/>
    <w:tmpl w:val="2F4831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3CFCD94"/>
    <w:multiLevelType w:val="singleLevel"/>
    <w:tmpl w:val="33CFCD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0F2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76</Words>
  <Characters>120</Characters>
  <Lines>0</Lines>
  <Paragraphs>0</Paragraphs>
  <TotalTime>2</TotalTime>
  <ScaleCrop>false</ScaleCrop>
  <LinksUpToDate>false</LinksUpToDate>
  <CharactersWithSpaces>120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2026-09-09T09:17:13Z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