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工作交接管理制度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SFKJ-ITSS-0506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刘海燕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刘海燕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_Toc10353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_Toc16901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术语与定义</w:t>
          </w:r>
          <w:r>
            <w:tab/>
          </w:r>
          <w:r>
            <w:fldChar w:fldCharType="begin"/>
          </w:r>
          <w:r>
            <w:instrText xml:space="preserve"> PAGEREF _Toc7010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角色与职责</w:t>
          </w:r>
          <w:r>
            <w:tab/>
          </w:r>
          <w:r>
            <w:fldChar w:fldCharType="begin"/>
          </w:r>
          <w:r>
            <w:instrText xml:space="preserve"> PAGEREF _Toc30057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交接触发场景</w:t>
          </w:r>
          <w:r>
            <w:tab/>
          </w:r>
          <w:r>
            <w:fldChar w:fldCharType="begin"/>
          </w:r>
          <w:r>
            <w:instrText xml:space="preserve"> PAGEREF _Toc27564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交接内容与标准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业务工作交接内容</w:t>
          </w:r>
          <w:r>
            <w:tab/>
          </w:r>
          <w:r>
            <w:fldChar w:fldCharType="begin"/>
          </w:r>
          <w:r>
            <w:instrText xml:space="preserve"> PAGEREF _Toc21198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公司物品交接内容</w:t>
          </w:r>
          <w:r>
            <w:tab/>
          </w:r>
          <w:r>
            <w:fldChar w:fldCharType="begin"/>
          </w:r>
          <w:r>
            <w:instrText xml:space="preserve"> PAGEREF _Toc24330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运维专项交接内容</w:t>
          </w:r>
          <w:r>
            <w:tab/>
          </w:r>
          <w:r>
            <w:fldChar w:fldCharType="begin"/>
          </w:r>
          <w:r>
            <w:instrText xml:space="preserve"> PAGEREF _Toc20576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交接流程</w:t>
          </w:r>
          <w:r>
            <w:tab/>
          </w:r>
          <w:r>
            <w:fldChar w:fldCharType="begin"/>
          </w:r>
          <w:r>
            <w:instrText xml:space="preserve"> PAGEREF _Toc4402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交接要求</w:t>
          </w:r>
          <w:r>
            <w:tab/>
          </w:r>
          <w:r>
            <w:fldChar w:fldCharType="begin"/>
          </w:r>
          <w:r>
            <w:instrText xml:space="preserve"> PAGEREF _Toc19308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时间要求</w:t>
          </w:r>
          <w:r>
            <w:tab/>
          </w:r>
          <w:r>
            <w:fldChar w:fldCharType="begin"/>
          </w:r>
          <w:r>
            <w:instrText xml:space="preserve"> PAGEREF _Toc13596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过程要求</w:t>
          </w:r>
          <w:r>
            <w:tab/>
          </w:r>
          <w:r>
            <w:fldChar w:fldCharType="begin"/>
          </w:r>
          <w:r>
            <w:instrText xml:space="preserve"> PAGEREF _Toc17315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后续要求</w:t>
          </w:r>
          <w:r>
            <w:tab/>
          </w:r>
          <w:r>
            <w:fldChar w:fldCharType="begin"/>
          </w:r>
          <w:r>
            <w:instrText xml:space="preserve"> PAGEREF _Toc14134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责任划分</w:t>
          </w:r>
          <w:r>
            <w:tab/>
          </w:r>
          <w:r>
            <w:fldChar w:fldCharType="begin"/>
          </w:r>
          <w:r>
            <w:instrText xml:space="preserve"> PAGEREF _Toc14643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交接问题处理</w:t>
          </w:r>
          <w:r>
            <w:tab/>
          </w:r>
          <w:r>
            <w:fldChar w:fldCharType="begin"/>
          </w:r>
          <w:r>
            <w:instrText xml:space="preserve"> PAGEREF _Toc11917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输出的文件和记录</w:t>
          </w:r>
          <w:r>
            <w:tab/>
          </w:r>
          <w:r>
            <w:fldChar w:fldCharType="begin"/>
          </w:r>
          <w:r>
            <w:instrText xml:space="preserve"> PAGEREF _Toc26689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_Toc22954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术语定义表</w:t>
      </w:r>
      <w:r>
        <w:tab/>
      </w:r>
      <w:r>
        <w:fldChar w:fldCharType="begin"/>
      </w:r>
      <w:r>
        <w:instrText xml:space="preserve"> PAGEREF _Toc22954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_Toc10192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角色职责表</w:t>
      </w:r>
      <w:r>
        <w:tab/>
      </w:r>
      <w:r>
        <w:fldChar w:fldCharType="begin"/>
      </w:r>
      <w:r>
        <w:instrText xml:space="preserve"> PAGEREF _Toc10192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交接触发场景表</w:t>
      </w:r>
      <w:r>
        <w:tab/>
      </w:r>
      <w:r>
        <w:fldChar w:fldCharType="begin"/>
      </w:r>
      <w:r>
        <w:instrText xml:space="preserve"> PAGEREF _Toc25673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业务工作交接内容表</w:t>
      </w:r>
      <w:r>
        <w:tab/>
      </w:r>
      <w:r>
        <w:fldChar w:fldCharType="begin"/>
      </w:r>
      <w:r>
        <w:instrText xml:space="preserve"> PAGEREF _Toc27477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_Toc19516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公司物品交接内容表</w:t>
      </w:r>
      <w:r>
        <w:tab/>
      </w:r>
      <w:r>
        <w:fldChar w:fldCharType="begin"/>
      </w:r>
      <w:r>
        <w:instrText xml:space="preserve"> PAGEREF _Toc19516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运维专项交接内容表</w:t>
      </w:r>
      <w:r>
        <w:tab/>
      </w:r>
      <w:r>
        <w:fldChar w:fldCharType="begin"/>
      </w:r>
      <w:r>
        <w:instrText xml:space="preserve"> PAGEREF _Toc2630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_Toc10818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工作交接流程表</w:t>
      </w:r>
      <w:r>
        <w:tab/>
      </w:r>
      <w:r>
        <w:fldChar w:fldCharType="begin"/>
      </w:r>
      <w:r>
        <w:instrText xml:space="preserve"> PAGEREF _Toc10818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交接时间要求表</w:t>
      </w:r>
      <w:r>
        <w:tab/>
      </w:r>
      <w:r>
        <w:fldChar w:fldCharType="begin"/>
      </w:r>
      <w:r>
        <w:instrText xml:space="preserve"> PAGEREF _Toc6519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_Toc8443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责任划分表</w:t>
      </w:r>
      <w:r>
        <w:tab/>
      </w:r>
      <w:r>
        <w:fldChar w:fldCharType="begin"/>
      </w:r>
      <w:r>
        <w:instrText xml:space="preserve"> PAGEREF _Toc8443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_Toc28852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交接问题处理表</w:t>
      </w:r>
      <w:r>
        <w:tab/>
      </w:r>
      <w:r>
        <w:fldChar w:fldCharType="begin"/>
      </w:r>
      <w:r>
        <w:instrText xml:space="preserve"> PAGEREF _Toc28852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_Toc26527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_Toc26527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10353"/>
      <w:bookmarkStart w:id="2" w:name="_Toc11063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公司员工在岗位变动、离职、休假等情形下的工作交接行为，确保工作衔接顺畅、资产资料完整、责任界定清晰，避免因交接不清引起的工作失误及资产损失，保障运维服务业务的连续性和稳定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6901"/>
      <w:r>
        <w:rPr>
          <w:rFonts w:hint="default"/>
          <w:lang w:val="en-US" w:eastAsia="zh-CN"/>
        </w:rPr>
        <w:t>范围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本制度适用于公司全体员工。各岗位人员在发生以下情形时，必须依照本制度办理工作交接：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bookmarkStart w:id="4" w:name="_GoBack"/>
      <w:r>
        <w:rPr>
          <w:rFonts w:hint="default"/>
          <w:lang w:val="en-US" w:eastAsia="zh-CN"/>
        </w:rPr>
        <w:t>内部岗位调整（晋升、调岗、轮岗）；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离职（辞职、辞退、合同到期不续签）；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长期休假（请假超过7个工作日）；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短期离岗（超过3个工作日且工作需他人接替）；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岗位职责重大调整；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其他需要工作交接的情形。</w:t>
      </w:r>
    </w:p>
    <w:p>
      <w:pPr>
        <w:pStyle w:val="1"/>
        <w:bidi w:val="0"/>
        <w:rPr>
          <w:rFonts w:hint="default"/>
          <w:lang w:val="en-US" w:eastAsia="zh-CN"/>
        </w:rPr>
      </w:pPr>
      <w:bookmarkEnd w:id="4"/>
      <w:bookmarkStart w:id="5" w:name="_Toc7010"/>
      <w:r>
        <w:rPr>
          <w:rFonts w:hint="default"/>
          <w:lang w:val="en-US" w:eastAsia="zh-CN"/>
        </w:rPr>
        <w:t>术语与定义</w:t>
      </w:r>
      <w:bookmarkEnd w:id="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22954"/>
      <w:r>
        <w:rPr>
          <w:rFonts w:hint="default"/>
          <w:lang w:val="en-US" w:eastAsia="zh-CN"/>
        </w:rPr>
        <w:t xml:space="preserve"> 术语定义表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706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原岗位责任人，需将工作移交给他人的人员（原移交人）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接收工作的人员，负责承接交接人的工作职责（原接收人）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监督交接过程的人员，通常为双方部门负责人或指定代表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交接清单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列明需交接事项的详细清单，包括工作内容、文件、账号、资产等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交接确认书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交接完成后，三方签字确认的正式文件（即《工作交接表》）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7" w:name="_Toc30057"/>
      <w:r>
        <w:rPr>
          <w:rFonts w:hint="default"/>
          <w:lang w:val="en-US" w:eastAsia="zh-CN"/>
        </w:rPr>
        <w:t>角色与职责</w:t>
      </w:r>
      <w:bookmarkEnd w:id="7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10192"/>
      <w:r>
        <w:rPr>
          <w:rFonts w:hint="default"/>
          <w:lang w:val="en-US" w:eastAsia="zh-CN"/>
        </w:rPr>
        <w:t xml:space="preserve"> 角色职责表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5659"/>
        <w:gridCol w:w="16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56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  <w:tc>
          <w:tcPr>
            <w:tcW w:w="16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对应原岗位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认真整理职责内的各种资产、资料，保证其完整性和真实性；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梳理工作流程和工作关系，准备移交；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处理遗留问题，如实回答接交人和监交人的询问；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配合完成交接验收，对交接内容的真实性、完整性负责。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移交人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认真检查交接人的各种资产、资料，保证账实相符；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尽快熟悉工作的各项流程和各种工作关系；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对交接后的工作结果负责；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交接后仍有不清楚的，及时联系交接人。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监督交接过程，确保程序规范；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核实交接清单，必要时作适当调整；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及时发现问题，协同交接人和接交人拟订处理方案；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对交接的规范性负责。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审批本部门的交接申请；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指定监交人；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审核签字确认《工作交接表》；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对交接的最终效果负责。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移交人的部门经理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负责本制度的制订、解释和修订；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监督各部门交接制度的执行情况；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对交接过程进行检查，发现问题及时处理；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负责《工作交接表》的归档管理。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人力部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27564"/>
      <w:r>
        <w:rPr>
          <w:rFonts w:hint="default"/>
          <w:lang w:val="en-US" w:eastAsia="zh-CN"/>
        </w:rPr>
        <w:t>交接触发场景</w:t>
      </w:r>
      <w:bookmarkEnd w:id="9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5673"/>
      <w:r>
        <w:rPr>
          <w:rFonts w:hint="default"/>
          <w:lang w:val="en-US" w:eastAsia="zh-CN"/>
        </w:rPr>
        <w:t xml:space="preserve"> 交接触发场景表</w:t>
      </w:r>
      <w:bookmarkEnd w:id="10"/>
    </w:p>
    <w:tbl>
      <w:tblPr>
        <w:tblStyle w:val="TableNormal"/>
        <w:tblW w:w="8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2844"/>
        <w:gridCol w:w="2497"/>
        <w:gridCol w:w="1608"/>
      </w:tblGrid>
      <w:tr>
        <w:tblPrEx>
          <w:tblW w:w="849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触发场景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交接启动时间</w:t>
            </w:r>
          </w:p>
        </w:tc>
        <w:tc>
          <w:tcPr>
            <w:tcW w:w="16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交接时长要求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内部岗位调整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晋升、调岗、轮岗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调整通知下发后1个工作日内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不少于2个工作日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员工辞职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员工主动提出离职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离职申请批准后1个工作日内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不少于3个工作日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辞退/解聘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公司决定解除劳动合同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通知发出后1个工作日内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不少于2个工作日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合同到期不续签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劳动合同到期不再续签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合同到期前5个工作日启动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不少于3个工作日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长期休假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请假超过7个工作日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请假批准后1个工作日内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不少于1个工作日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短期离岗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超过3个工作日且工作需他人接替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离岗前2个工作日启动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不少于0.5个工作日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岗位职责重大调整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职责范围发生重大变化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调整实施前3个工作日启动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视情况定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6095"/>
      <w:r>
        <w:rPr>
          <w:rFonts w:hint="default"/>
          <w:lang w:val="en-US" w:eastAsia="zh-CN"/>
        </w:rPr>
        <w:t>交接内容与标准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1198"/>
      <w:r>
        <w:rPr>
          <w:rFonts w:hint="default"/>
          <w:lang w:val="en-US" w:eastAsia="zh-CN"/>
        </w:rPr>
        <w:t>业务工作交接内容</w:t>
      </w:r>
      <w:bookmarkEnd w:id="12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27477"/>
      <w:r>
        <w:rPr>
          <w:rFonts w:hint="default"/>
          <w:lang w:val="en-US" w:eastAsia="zh-CN"/>
        </w:rPr>
        <w:t xml:space="preserve"> 业务工作交接内容表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1"/>
        <w:gridCol w:w="3559"/>
        <w:gridCol w:w="354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</w:t>
            </w:r>
          </w:p>
        </w:tc>
        <w:tc>
          <w:tcPr>
            <w:tcW w:w="35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重要客户名单、联系人及联络方式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确保信息准确、完整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合作伙伴信息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供应商、合作伙伴名单及联络方式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确保信息准确、完整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已完成工作的详细工作报告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包括成果、数据、文档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待办事宜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未完成工作的各项待办事宜及关键点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明确当前进度、下一步计划、注意事项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本岗位的岗位职责、分工说明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确保接交人理解岗位要求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相关业务流程说明、操作手册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确保接交人掌握操作规范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纸质和电子文件资料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按分类整理，列明清单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账号权限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系统账号、密码、权限说明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密码需在交接后修改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4" w:name="_Toc24330"/>
      <w:r>
        <w:rPr>
          <w:rFonts w:hint="default"/>
          <w:lang w:val="en-US" w:eastAsia="zh-CN"/>
        </w:rPr>
        <w:t>公司物品交接内容</w:t>
      </w:r>
      <w:bookmarkEnd w:id="1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5" w:name="_Toc19516"/>
      <w:r>
        <w:rPr>
          <w:rFonts w:hint="default"/>
          <w:lang w:val="en-US" w:eastAsia="zh-CN"/>
        </w:rPr>
        <w:t xml:space="preserve"> 公司物品交接内容表</w:t>
      </w:r>
      <w:bookmarkEnd w:id="15"/>
    </w:p>
    <w:tbl>
      <w:tblPr>
        <w:tblStyle w:val="TableNormal"/>
        <w:tblW w:w="81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4780"/>
        <w:gridCol w:w="2286"/>
      </w:tblGrid>
      <w:tr>
        <w:tblPrEx>
          <w:tblW w:w="81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办公用品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办公设备、电脑、手机、U盘、书籍、钥匙等</w:t>
            </w:r>
          </w:p>
        </w:tc>
        <w:tc>
          <w:tcPr>
            <w:tcW w:w="228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确保实物与清单一致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证件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公司发给员工的各种证件（如工作证、门禁卡）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核对数量、有效期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营业执照正副本、企业章程、各类批件等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确保原件齐全、无损坏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档案资料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接收的其他已离职人员的工作资料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确保完整移交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财务凭证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财务部开具的财务款项结清证明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证明无未结清款项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印章</w:t>
            </w:r>
          </w:p>
        </w:tc>
        <w:tc>
          <w:tcPr>
            <w:tcW w:w="4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部门印章、合同专用章等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确保完好无损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0576"/>
      <w:r>
        <w:rPr>
          <w:rFonts w:hint="default"/>
          <w:lang w:val="en-US" w:eastAsia="zh-CN"/>
        </w:rPr>
        <w:t>运维专项交接内容</w:t>
      </w:r>
      <w:bookmarkEnd w:id="16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7" w:name="_Toc2630"/>
      <w:r>
        <w:rPr>
          <w:rFonts w:hint="default"/>
          <w:lang w:val="en-US" w:eastAsia="zh-CN"/>
        </w:rPr>
        <w:t xml:space="preserve"> 运维专项交接内容表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4247"/>
        <w:gridCol w:w="282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</w:t>
            </w:r>
          </w:p>
        </w:tc>
        <w:tc>
          <w:tcPr>
            <w:tcW w:w="2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运维系统、监控系统、云平台等账号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列明账号、权限、关联人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服务器IP、登录方式、配置信息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确保信息准确、安全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网络拓扑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网络结构图、设备配置信息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确保图纸最新版本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历史故障处理记录、典型案例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便于接交人快速上手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自研工具、脚本、配置文件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确保代码完整、注释清晰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备件信息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备件库存、存放位置、使用记录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核对实物与台账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8" w:name="_Toc4402"/>
      <w:r>
        <w:rPr>
          <w:rFonts w:hint="default"/>
          <w:lang w:val="en-US" w:eastAsia="zh-CN"/>
        </w:rPr>
        <w:t>交接流程</w:t>
      </w:r>
      <w:bookmarkEnd w:id="18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10818"/>
      <w:r>
        <w:rPr>
          <w:rFonts w:hint="default"/>
          <w:lang w:val="en-US" w:eastAsia="zh-CN"/>
        </w:rPr>
        <w:t xml:space="preserve"> 工作交接流程表</w:t>
      </w:r>
      <w:bookmarkEnd w:id="1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4632"/>
        <w:gridCol w:w="1213"/>
        <w:gridCol w:w="15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46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流程内容</w:t>
            </w:r>
          </w:p>
        </w:tc>
        <w:tc>
          <w:tcPr>
            <w:tcW w:w="12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15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1.启动交接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职位异动申请批准后，部门负责人安排工作交接，明确监交人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交接通知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2.准备交接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交接人填写《工作交接表》，准备交接材料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《工作交接表》（草稿）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3.审核清单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监交人核实《工作交接表》，必要时作适当调整，确定最终交接清单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《工作交接表》（确认版）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4.现场交接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交接人、接交人、监交人三方同时在场，逐项按交接清单清点文件资料和办公物品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三方共同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交接过程记录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5.签字确认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核对无误后，三方共同在《工作交接表》上签字确认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三方共同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签字版《工作交接表》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6.部门审核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经三方签字确认的《工作交接表》送部门负责人审核签字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审核签字版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7.财务确认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涉及财务款项的，到财务部办理结清手续，取得《财务款项结清证明》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交接人、财务部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《财务款项结清证明》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8.人事归档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《工作交接表》原件送人力部，存入员工个人档案；复印件分别留存于交接人和接交人处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归档记录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9.办理手续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交接手续完成后，人力部办理后续异动手续（离职、调岗等）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异动手续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19308"/>
      <w:r>
        <w:rPr>
          <w:rFonts w:hint="default"/>
          <w:lang w:val="en-US" w:eastAsia="zh-CN"/>
        </w:rPr>
        <w:t>交接要求</w:t>
      </w:r>
      <w:bookmarkEnd w:id="20"/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3596"/>
      <w:r>
        <w:rPr>
          <w:rFonts w:hint="default"/>
          <w:lang w:val="en-US" w:eastAsia="zh-CN"/>
        </w:rPr>
        <w:t>时间要求</w:t>
      </w:r>
      <w:bookmarkEnd w:id="21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6519"/>
      <w:r>
        <w:rPr>
          <w:rFonts w:hint="default"/>
          <w:lang w:val="en-US" w:eastAsia="zh-CN"/>
        </w:rPr>
        <w:t xml:space="preserve"> 交接时间要求表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坚守岗位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职位异动申请未经批准前，员工必须坚守岗位。若因私自离岗或消极怠工给公司造成损失者，公司将按制度予以处罚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启动时间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需工作交接情形发生时，应在规定时间内启动交接（见第5章）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交接时长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交接时间原则为2-3个工作日，特殊需要可适当延长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应在工作调动、请假或离职前完成工作交接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3" w:name="_Toc17315"/>
      <w:r>
        <w:rPr>
          <w:rFonts w:hint="default"/>
          <w:lang w:val="en-US" w:eastAsia="zh-CN"/>
        </w:rPr>
        <w:t>过程要求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三方在场：工作交接必须交接人、接交人、监交人三方同时在场，逐项按交接清单清点确认。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书面报告：业务工作交接应由交接人向接交人和监交人出具书面报告，并认真回答询问。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监交权责：监交人有权召集相关人员了解交接人的具体工作情况。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签字确认：《工作交接表》填写不详或交接手续未办完者，人力部不予办理异动手续。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例外处理：如交接人因特别原因不能亲自办理工作交接，须提前申请经部门负责人核准后，可由指定负责人代为办理交接，但一切责任仍由原交接人承担。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4134"/>
      <w:r>
        <w:rPr>
          <w:rFonts w:hint="default"/>
          <w:lang w:val="en-US" w:eastAsia="zh-CN"/>
        </w:rPr>
        <w:t>后续要求</w:t>
      </w:r>
      <w:bookmarkEnd w:id="2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过渡期支持：工作交接完成后，尚在公司的离任员工仍有义务帮助接交人顺利开展工作。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问题响应：接交人对交接的工作尚有不清楚的，应及时联系交接人，交接人必须积极配合，直到交接清楚。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远程支持：已离职员工在离职后1个月内，有义务接受不超过3次的电话或远程咨询。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14643"/>
      <w:r>
        <w:rPr>
          <w:rFonts w:hint="default"/>
          <w:lang w:val="en-US" w:eastAsia="zh-CN"/>
        </w:rPr>
        <w:t>责任划分</w:t>
      </w:r>
      <w:bookmarkEnd w:id="2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8443"/>
      <w:r>
        <w:rPr>
          <w:rFonts w:hint="default"/>
          <w:lang w:val="en-US" w:eastAsia="zh-CN"/>
        </w:rPr>
        <w:t xml:space="preserve"> 责任划分表</w:t>
      </w:r>
      <w:bookmarkEnd w:id="2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699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69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对交接内容的真实性、完整性负责；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对故意隐瞒问题造成的损失承担全部责任；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对交接后发现的未交接事项负责补充交接。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对接收后的工作结果负责；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对交接中已确认无误的事项承担责任；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对未及时提出疑问导致的问题承担相应责任。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对交接过程的规范性负责；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对交接清单的完整性负责；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对未发现的明显问题承担监督责任。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对交接的最终效果负责；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对交接中发现的遗漏问题及时处理。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对交接制度的执行情况负责；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对于不负责任给公司造成损失者，严格追究相关人员责任。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7" w:name="_Toc11917"/>
      <w:r>
        <w:rPr>
          <w:rFonts w:hint="default"/>
          <w:lang w:val="en-US" w:eastAsia="zh-CN"/>
        </w:rPr>
        <w:t>交接问题处理</w:t>
      </w:r>
      <w:bookmarkEnd w:id="27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28852"/>
      <w:r>
        <w:rPr>
          <w:rFonts w:hint="default"/>
          <w:lang w:val="en-US" w:eastAsia="zh-CN"/>
        </w:rPr>
        <w:t xml:space="preserve"> 交接问题处理表</w:t>
      </w:r>
      <w:bookmarkEnd w:id="28"/>
    </w:p>
    <w:tbl>
      <w:tblPr>
        <w:tblStyle w:val="TableNormal"/>
        <w:tblW w:w="8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4954"/>
        <w:gridCol w:w="1861"/>
      </w:tblGrid>
      <w:tr>
        <w:tblPrEx>
          <w:tblW w:w="849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处理方式</w:t>
            </w:r>
          </w:p>
        </w:tc>
        <w:tc>
          <w:tcPr>
            <w:tcW w:w="18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交接内容不完整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监交人要求交接人补充完善，延长交接时间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监交人、交接人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发现账实不符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监交人会同交接人及接交人核查原因，拟订处理意见上报部门负责人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监交人、交接人、接交人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短时间不能处理的问题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监交人会同交接人及接交人拟订处理意见，及时上报部门负责人和领导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交接人故意隐瞒问题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由交接人承担全部责任损失，纳入绩效考核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交接双方有争议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监交人协调解决，无法解决的报部门负责人裁决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监交人、部门负责人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交接手续未完成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人力部不予办理离岗手续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End w:id="2"/>
      <w:bookmarkStart w:id="29" w:name="_Toc26689"/>
      <w:r>
        <w:rPr>
          <w:rFonts w:hint="default"/>
          <w:lang w:val="en-US" w:eastAsia="zh-CN"/>
        </w:rPr>
        <w:t>输出的文件和记录</w:t>
      </w:r>
      <w:bookmarkEnd w:id="29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6527"/>
      <w:r>
        <w:rPr>
          <w:rFonts w:hint="default"/>
          <w:lang w:val="en-US" w:eastAsia="zh-CN"/>
        </w:rPr>
        <w:t xml:space="preserve"> 输出文件和记录表</w:t>
      </w:r>
      <w:bookmarkEnd w:id="3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2"/>
        <w:gridCol w:w="2070"/>
        <w:gridCol w:w="32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32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长期（存入员工档案）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《财务款项结清证明》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《交接问题处理记录》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2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《交接检查记录》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B3F6263"/>
    <w:multiLevelType w:val="singleLevel"/>
    <w:tmpl w:val="6B3F62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3652</Words>
  <Characters>3839</Characters>
  <Application>Microsoft Office Word</Application>
  <DocSecurity>0</DocSecurity>
  <Lines>0</Lines>
  <Paragraphs>0</Paragraphs>
  <ScaleCrop>false</ScaleCrop>
  <Company/>
  <LinksUpToDate>false</LinksUpToDate>
  <CharactersWithSpaces>4006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2026-04-07T20:30:36Z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