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99D7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4B50605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运维服务过程框架管理制度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E253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44C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6B5F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1E0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7A0E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9D8B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3D70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1E73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4920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F5DF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60481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87AF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0A1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81B2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8C27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2C713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EE80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D013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13AB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3C2A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5BCC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C49A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FB6E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9067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7672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526841C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583104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30B0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E24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819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F5D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EFE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751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4292E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17C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6E7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7A1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DAD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0C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B94D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B79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0C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499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07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542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9468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775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D86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CDF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A5C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CD4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CBA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E80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729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0C4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AB8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525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9AAA8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29FEAC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18D94E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3D926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_Toc7034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_Toc7034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2F7A2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_Toc22800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_Toc22800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697A6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_Toc2316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职责分工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B1E4B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运维服务过程框架</w:t>
          </w:r>
          <w:r>
            <w:tab/>
          </w:r>
          <w:r>
            <w:fldChar w:fldCharType="begin"/>
          </w:r>
          <w:r>
            <w:instrText xml:space="preserve"> PAGEREF _Toc2644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0622D7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_Toc12409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服务规划与设计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DFDBDA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_Toc26371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_Toc26371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DF7393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_Toc5033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_Toc5033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5BCE6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_Toc31576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_Toc31576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C04E6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_Toc8215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管理要求</w:t>
          </w:r>
          <w:r>
            <w:tab/>
          </w:r>
          <w:r>
            <w:fldChar w:fldCharType="begin"/>
          </w:r>
          <w:r>
            <w:instrText xml:space="preserve"> PAGEREF _Toc8215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014E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_Toc28773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奖惩机制</w:t>
          </w:r>
          <w:r>
            <w:tab/>
          </w:r>
          <w:r>
            <w:fldChar w:fldCharType="begin"/>
          </w:r>
          <w:r>
            <w:instrText xml:space="preserve"> PAGEREF _Toc28773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4C00E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KPI指标</w:t>
          </w:r>
          <w:r>
            <w:tab/>
          </w:r>
          <w:r>
            <w:fldChar w:fldCharType="begin"/>
          </w:r>
          <w:r>
            <w:instrText xml:space="preserve"> PAGEREF _Toc3590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C5840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_Toc27382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_Toc27382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5CAD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A9738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B54387D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_Toc28273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_Toc28273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E4114FD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_Toc13798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过程框架设计职责表</w:t>
      </w:r>
      <w:r>
        <w:tab/>
      </w:r>
      <w:r>
        <w:fldChar w:fldCharType="begin"/>
      </w:r>
      <w:r>
        <w:instrText xml:space="preserve"> PAGEREF _Toc13798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E009AB3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_Toc22567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服务规划与设计活动表</w:t>
      </w:r>
      <w:r>
        <w:tab/>
      </w:r>
      <w:r>
        <w:fldChar w:fldCharType="begin"/>
      </w:r>
      <w:r>
        <w:instrText xml:space="preserve"> PAGEREF _Toc22567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1DD7D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_Toc28457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服务部署与实施活动表</w:t>
      </w:r>
      <w:r>
        <w:tab/>
      </w:r>
      <w:r>
        <w:fldChar w:fldCharType="begin"/>
      </w:r>
      <w:r>
        <w:instrText xml:space="preserve"> PAGEREF _Toc28457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B38698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_Toc21806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r>
        <w:tab/>
      </w:r>
      <w:r>
        <w:fldChar w:fldCharType="begin"/>
      </w:r>
      <w:r>
        <w:instrText xml:space="preserve"> PAGEREF _Toc21806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D1A260A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t>服务监控与改进活动表</w:t>
      </w:r>
      <w:r>
        <w:tab/>
      </w:r>
      <w:r>
        <w:fldChar w:fldCharType="begin"/>
      </w:r>
      <w:r>
        <w:instrText xml:space="preserve"> PAGEREF _Toc19524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99E6E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过程框架管理要求表</w:t>
      </w:r>
      <w:r>
        <w:tab/>
      </w:r>
      <w:r>
        <w:fldChar w:fldCharType="begin"/>
      </w:r>
      <w:r>
        <w:instrText xml:space="preserve"> PAGEREF _Toc2775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0A7E4BF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_Toc7602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 </w:t>
      </w:r>
      <w:r>
        <w:t>过程框架奖惩机制表</w:t>
      </w:r>
      <w:r>
        <w:tab/>
      </w:r>
      <w:r>
        <w:fldChar w:fldCharType="begin"/>
      </w:r>
      <w:r>
        <w:instrText xml:space="preserve"> PAGEREF _Toc7602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D5E401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_Toc21283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_Toc21283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9D01335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_Toc16410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E3E50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5FE4E8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473ADC9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_Toc22062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运维服务过程框架图</w:t>
      </w:r>
      <w:r>
        <w:tab/>
      </w:r>
      <w:r>
        <w:fldChar w:fldCharType="begin"/>
      </w:r>
      <w:r>
        <w:instrText xml:space="preserve"> PAGEREF _Toc22062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69354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154FE54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5377"/>
      <w:bookmarkStart w:id="2" w:name="heading_2"/>
      <w:r>
        <w:t>目的</w:t>
      </w:r>
      <w:bookmarkEnd w:id="1"/>
      <w:bookmarkEnd w:id="2"/>
    </w:p>
    <w:p w14:paraId="100554F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为规范公司IT服务管理流程，确保运维服务全面符合信息技术服务标准（ITSS），持续提升运维服务的质量与执行效率，有效降低IT系统运行风险，为公司业务的稳定开展提供坚实的IT支撑。</w:t>
      </w:r>
    </w:p>
    <w:p w14:paraId="77F9C59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7034"/>
      <w:bookmarkStart w:id="4" w:name="heading_3"/>
      <w:r>
        <w:t>适用范围</w:t>
      </w:r>
      <w:bookmarkEnd w:id="3"/>
      <w:bookmarkEnd w:id="4"/>
    </w:p>
    <w:p w14:paraId="186BD2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覆盖公司内部所有涉及IT运维服务的部门与相关人员，包括运维部、研发部、质量部、人力部，同时适用于公司全部IT系统及各类运维服务流程。</w:t>
      </w:r>
    </w:p>
    <w:p w14:paraId="6397C4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2800"/>
      <w:bookmarkStart w:id="6" w:name="heading_4"/>
      <w:r>
        <w:t>术语</w:t>
      </w:r>
      <w:bookmarkEnd w:id="5"/>
      <w:bookmarkEnd w:id="6"/>
    </w:p>
    <w:p w14:paraId="69E6B6F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8273"/>
      <w:bookmarkStart w:id="8" w:name="_Toc15905"/>
      <w:bookmarkStart w:id="9" w:name="_Toc1826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bookmarkEnd w:id="7"/>
      <w:bookmarkEnd w:id="8"/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6283"/>
      </w:tblGrid>
      <w:tr w14:paraId="17370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DE0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62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9F3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51875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106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运维服务过程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BA03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为保障IT系统正常运行，按既定计划有序开展的服务规划设计、部署实施、运营管理、监控改进等一系列系统性活动</w:t>
            </w:r>
          </w:p>
        </w:tc>
      </w:tr>
      <w:tr w14:paraId="6C41A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873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服务级别协议（SLA）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A862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明确运维服务质量标准、响应时限、服务范围等核心内容的正式协议，是判定服务是否达标的关键依据</w:t>
            </w:r>
          </w:p>
        </w:tc>
      </w:tr>
      <w:tr w14:paraId="433DF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47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过程框架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1A9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对运维服务中所有管理流程的系统化组织，包括过程清单、过程关系、过程管理要求等</w:t>
            </w:r>
          </w:p>
        </w:tc>
      </w:tr>
      <w:tr w14:paraId="7A7AE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3AB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配置管理数据库（CMDB）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BE3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存储所有配置项及其相互关系的数据库，为其他运维流程提供配置信息支撑</w:t>
            </w:r>
          </w:p>
        </w:tc>
      </w:tr>
    </w:tbl>
    <w:p w14:paraId="64EACF5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2316"/>
      <w:r>
        <w:t>职责分工</w:t>
      </w:r>
      <w:bookmarkEnd w:id="10"/>
      <w:bookmarkEnd w:id="11"/>
    </w:p>
    <w:p w14:paraId="6A44E7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3798"/>
      <w:r>
        <w:rPr>
          <w:rFonts w:hint="eastAsia"/>
          <w:lang w:val="en-US" w:eastAsia="zh-CN"/>
        </w:rPr>
        <w:t xml:space="preserve"> </w:t>
      </w:r>
      <w:r>
        <w:t>过程框架设计职责表</w:t>
      </w:r>
      <w:bookmarkEnd w:id="1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7067"/>
      </w:tblGrid>
      <w:tr w14:paraId="414FC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650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70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5A4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051A6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4B5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AC891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负责制定并持续完善运维服务过程框架相关管理制度；</w:t>
            </w:r>
          </w:p>
          <w:p w14:paraId="5033533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牵头组织服务规划设计、部署实施、运营管理、监控改进等核心活动；</w:t>
            </w:r>
          </w:p>
          <w:p w14:paraId="0F4D684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承担运维服务团队的日常管理与专业培训工作，提升团队整体专业素质与服务能力；</w:t>
            </w:r>
          </w:p>
          <w:p w14:paraId="7A5A628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监督并评估运维服务过程的执行情况，确保服务符合ITSS要求及SLA约定。</w:t>
            </w:r>
          </w:p>
        </w:tc>
      </w:tr>
      <w:tr w14:paraId="7BE35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38B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研发部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F97E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参与运维服务过程的技术方案设计；</w:t>
            </w:r>
          </w:p>
          <w:p w14:paraId="18D6AEB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提供技术工具和平台的部署支持；</w:t>
            </w:r>
          </w:p>
          <w:p w14:paraId="5118899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参与复杂技术问题的分析和解决。</w:t>
            </w:r>
          </w:p>
        </w:tc>
      </w:tr>
      <w:tr w14:paraId="62795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492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质量部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1C15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监督运维服务过程的执行符合性；</w:t>
            </w:r>
          </w:p>
          <w:p w14:paraId="055D4B0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参与过程评审和服务质量评估；</w:t>
            </w:r>
          </w:p>
          <w:p w14:paraId="09B7791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提出过程改进建议。</w:t>
            </w:r>
          </w:p>
        </w:tc>
      </w:tr>
      <w:tr w14:paraId="4C9F3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402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人力部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5928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协调跨部门资源，支持过程框架的实施；</w:t>
            </w:r>
          </w:p>
          <w:p w14:paraId="12D50F7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组织过程相关的培训活动。</w:t>
            </w:r>
          </w:p>
        </w:tc>
      </w:tr>
    </w:tbl>
    <w:p w14:paraId="5075928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6"/>
      <w:bookmarkStart w:id="14" w:name="_Toc2644"/>
      <w:r>
        <w:t>运维服务过程框架</w:t>
      </w:r>
      <w:bookmarkEnd w:id="13"/>
      <w:bookmarkEnd w:id="14"/>
    </w:p>
    <w:p w14:paraId="206C8E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公司运维服务过程框架分为四个核心阶段，各阶段相互关联、持续循环，形成完整的PDCA闭环。</w:t>
      </w:r>
    </w:p>
    <w:p w14:paraId="7B929CB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2062"/>
      <w:r>
        <w:rPr>
          <w:rFonts w:hint="eastAsia"/>
          <w:lang w:val="en-US" w:eastAsia="zh-CN"/>
        </w:rPr>
        <w:t xml:space="preserve"> </w:t>
      </w:r>
      <w:r>
        <w:t>运维服务过程框架图</w:t>
      </w:r>
      <w:bookmarkEnd w:id="15"/>
    </w:p>
    <w:p w14:paraId="14B688D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281pt;width:419.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70C9479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7"/>
      <w:bookmarkStart w:id="17" w:name="_Toc12409"/>
      <w:r>
        <w:t>服务规划与设计</w:t>
      </w:r>
      <w:bookmarkEnd w:id="16"/>
      <w:bookmarkEnd w:id="17"/>
    </w:p>
    <w:p w14:paraId="4DD90A1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70597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22567"/>
      <w:r>
        <w:rPr>
          <w:rFonts w:hint="eastAsia"/>
          <w:lang w:val="en-US" w:eastAsia="zh-CN"/>
        </w:rPr>
        <w:t xml:space="preserve"> </w:t>
      </w:r>
      <w:r>
        <w:t>服务规划与设计活动表</w:t>
      </w:r>
      <w:bookmarkEnd w:id="18"/>
    </w:p>
    <w:tbl>
      <w:tblPr>
        <w:tblStyle w:val="22"/>
        <w:tblW w:w="77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6519"/>
      </w:tblGrid>
      <w:tr w14:paraId="781F0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6A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65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3F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51D7F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AE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21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结合公司业务需求与IT战略规划，制定适配性强、可落地的运维服务方案</w:t>
            </w:r>
          </w:p>
        </w:tc>
      </w:tr>
      <w:tr w14:paraId="38976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680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D57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全面分析业务对IT系统在功能、性能、可用性等方面的具体需求；</w:t>
            </w:r>
          </w:p>
          <w:p w14:paraId="1E14DB8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构建IT运维服务战略体系，设计配套的组织、流程、技术及资源架构；</w:t>
            </w:r>
          </w:p>
          <w:p w14:paraId="2C84039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与相关方协商确定并签订服务级别协议（SLA）；</w:t>
            </w:r>
          </w:p>
          <w:p w14:paraId="43BE9CF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识别运维服务所需的关键资源和技术能力。</w:t>
            </w:r>
          </w:p>
        </w:tc>
      </w:tr>
      <w:tr w14:paraId="4E1DA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433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798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业务需求、客户合同、SLA要求、公司战略规划</w:t>
            </w:r>
          </w:p>
        </w:tc>
      </w:tr>
      <w:tr w14:paraId="6CD47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802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EC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业务需求分析报告、运维服务战略规划书、服务架构设计方案、服务级别协议（SLA）</w:t>
            </w:r>
          </w:p>
        </w:tc>
      </w:tr>
      <w:tr w14:paraId="62F8A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60F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803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运维部、业务部门（需求方）</w:t>
            </w:r>
          </w:p>
        </w:tc>
      </w:tr>
    </w:tbl>
    <w:p w14:paraId="187C0A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6371"/>
      <w:bookmarkStart w:id="20" w:name="heading_8"/>
      <w:r>
        <w:t>服务部署与实施</w:t>
      </w:r>
      <w:bookmarkEnd w:id="19"/>
      <w:bookmarkEnd w:id="20"/>
    </w:p>
    <w:p w14:paraId="29C505A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1" w:name="_Toc28457"/>
      <w:r>
        <w:rPr>
          <w:rFonts w:hint="eastAsia"/>
          <w:lang w:val="en-US" w:eastAsia="zh-CN"/>
        </w:rPr>
        <w:t xml:space="preserve"> </w:t>
      </w:r>
      <w:r>
        <w:t>服务部署与实施活动表</w:t>
      </w:r>
      <w:bookmarkEnd w:id="2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7267"/>
      </w:tblGrid>
      <w:tr w14:paraId="2D184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DD8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活动项</w:t>
            </w:r>
          </w:p>
        </w:tc>
        <w:tc>
          <w:tcPr>
            <w:tcW w:w="72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46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内容</w:t>
            </w:r>
          </w:p>
        </w:tc>
      </w:tr>
      <w:tr w14:paraId="27CB7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C5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核心目标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124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将规划阶段制定的方案全面落地，配齐运维服务所需的人员、工具与各类资源</w:t>
            </w:r>
          </w:p>
        </w:tc>
      </w:tr>
      <w:tr w14:paraId="2E413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2E0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关键活动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FC2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组建专业运维团队，明确各成员的岗位职责与工作分工；</w:t>
            </w:r>
          </w:p>
          <w:p w14:paraId="32EF850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部署监控系统、故障管理工具等必要的技术支撑工具；</w:t>
            </w:r>
          </w:p>
          <w:p w14:paraId="6EFA1D9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制定详细的流程操作规范，并组织团队开展专项培训；</w:t>
            </w:r>
          </w:p>
          <w:p w14:paraId="51DA3B6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完成硬件设备、软件系统、网络环境等服务资源的配置与调试。</w:t>
            </w:r>
          </w:p>
        </w:tc>
      </w:tr>
      <w:tr w14:paraId="7B812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D29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输入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9BF8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服务架构设计方案、资源配置清单、人员岗位说明书</w:t>
            </w:r>
          </w:p>
        </w:tc>
      </w:tr>
      <w:tr w14:paraId="747E8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BF0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输出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7E6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团队组建方案、工具部署报告、流程操作规范手册、资源配置清单</w:t>
            </w:r>
          </w:p>
        </w:tc>
      </w:tr>
      <w:tr w14:paraId="5B016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332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责任部门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7C6F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运维部、研发部、人力部</w:t>
            </w:r>
          </w:p>
        </w:tc>
      </w:tr>
    </w:tbl>
    <w:p w14:paraId="686F55D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5033"/>
      <w:bookmarkStart w:id="23" w:name="heading_9"/>
      <w:r>
        <w:t>服务运营与管理</w:t>
      </w:r>
      <w:bookmarkEnd w:id="22"/>
      <w:bookmarkEnd w:id="23"/>
    </w:p>
    <w:p w14:paraId="1F1ADFE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4" w:name="_Toc21806"/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bookmarkEnd w:id="2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3"/>
        <w:gridCol w:w="7339"/>
      </w:tblGrid>
      <w:tr w14:paraId="3995F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5052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活动项</w:t>
            </w:r>
          </w:p>
        </w:tc>
        <w:tc>
          <w:tcPr>
            <w:tcW w:w="73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F97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内容</w:t>
            </w:r>
          </w:p>
        </w:tc>
      </w:tr>
      <w:tr w14:paraId="1DBE3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C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核心目标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1D3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严格按照SLA约定提供稳定、高效的运维服务，保障IT系统持续正常运行</w:t>
            </w:r>
          </w:p>
        </w:tc>
      </w:tr>
      <w:tr w14:paraId="06C52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8C6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关键活动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920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常态化开展系统巡检、故障排查与处理、补丁更新及配置管理工作；</w:t>
            </w:r>
          </w:p>
          <w:p w14:paraId="0CCE662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及时响应并处理用户提出的各类服务请求；</w:t>
            </w:r>
          </w:p>
          <w:p w14:paraId="72AD93E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做好业务部门与供应商之间的协调沟通，规范管理服务合同；</w:t>
            </w:r>
          </w:p>
          <w:p w14:paraId="49C2261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执行变更管理、发布管理、配置管理等核心运维流程。</w:t>
            </w:r>
          </w:p>
        </w:tc>
      </w:tr>
      <w:tr w14:paraId="3482E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CFC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输入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B92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SLA约定、事件记录、变更请求、配置信息</w:t>
            </w:r>
          </w:p>
        </w:tc>
      </w:tr>
      <w:tr w14:paraId="46D3C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ABD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输出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85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运维操作记录表、故障处理报告、服务请求处理台账、合同管理报告</w:t>
            </w:r>
          </w:p>
        </w:tc>
      </w:tr>
      <w:tr w14:paraId="120A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BE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责任部门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2D4F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运维部、研发部</w:t>
            </w:r>
          </w:p>
        </w:tc>
      </w:tr>
    </w:tbl>
    <w:p w14:paraId="007A938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31576"/>
      <w:bookmarkStart w:id="26" w:name="heading_10"/>
      <w:r>
        <w:t>服务监控与改进</w:t>
      </w:r>
      <w:bookmarkEnd w:id="25"/>
      <w:bookmarkEnd w:id="26"/>
    </w:p>
    <w:p w14:paraId="3B1783F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7" w:name="_Toc19524"/>
      <w:r>
        <w:rPr>
          <w:rFonts w:hint="eastAsia"/>
          <w:lang w:val="en-US" w:eastAsia="zh-CN"/>
        </w:rPr>
        <w:t xml:space="preserve"> </w:t>
      </w:r>
      <w:r>
        <w:t>服务监控与改进活动表</w:t>
      </w:r>
      <w:bookmarkEnd w:id="2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7063"/>
      </w:tblGrid>
      <w:tr w14:paraId="058DB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EF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活动项</w:t>
            </w:r>
          </w:p>
        </w:tc>
        <w:tc>
          <w:tcPr>
            <w:tcW w:w="70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344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内容</w:t>
            </w:r>
          </w:p>
        </w:tc>
      </w:tr>
      <w:tr w14:paraId="6D73F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8DE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核心目标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765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持续监控运维服务全过程，及时发现问题并推动优化，不断提升服务水平</w:t>
            </w:r>
          </w:p>
        </w:tc>
      </w:tr>
      <w:tr w14:paraId="73C82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ADD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关键活动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76FC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建立覆盖服务质量、系统性能、数据安全等维度的监控指标体系；</w:t>
            </w:r>
          </w:p>
          <w:p w14:paraId="7D6E3D8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定期收集、整理并分析监控数据，生成详细的监控报告；</w:t>
            </w:r>
          </w:p>
          <w:p w14:paraId="69FFD79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组织开展服务质量评审会议，制定针对性改进计划并跟踪落实；</w:t>
            </w:r>
          </w:p>
          <w:p w14:paraId="46B9653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根据业务需求变化及服务执行情况，评估并调整SLA内容。</w:t>
            </w:r>
          </w:p>
        </w:tc>
      </w:tr>
      <w:tr w14:paraId="60C10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AA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输入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1D76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KPI数据、监控数据、事件记录、客户反馈</w:t>
            </w:r>
          </w:p>
        </w:tc>
      </w:tr>
      <w:tr w14:paraId="177DA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55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输出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6B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监控指标体系文件、服务监控报告、服务改进计划、SLA评估调整报告</w:t>
            </w:r>
          </w:p>
        </w:tc>
      </w:tr>
      <w:tr w14:paraId="2DEFC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5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责任部门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3A0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运维部、质量部</w:t>
            </w:r>
          </w:p>
        </w:tc>
      </w:tr>
    </w:tbl>
    <w:p w14:paraId="057C7D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1"/>
      <w:bookmarkStart w:id="29" w:name="_Toc8215"/>
      <w:r>
        <w:t>管理要求</w:t>
      </w:r>
      <w:bookmarkEnd w:id="28"/>
      <w:bookmarkEnd w:id="29"/>
    </w:p>
    <w:p w14:paraId="0C4D29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775"/>
      <w:r>
        <w:rPr>
          <w:rFonts w:hint="eastAsia"/>
          <w:lang w:val="en-US" w:eastAsia="zh-CN"/>
        </w:rPr>
        <w:t xml:space="preserve"> </w:t>
      </w:r>
      <w:r>
        <w:t>过程框架管理要求表</w:t>
      </w:r>
      <w:bookmarkEnd w:id="3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7784"/>
      </w:tblGrid>
      <w:tr w14:paraId="2E15C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D66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7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9AE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2FEA4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679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0806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各部门及相关人员必须严格遵守本制度规定，规范开展各项工作</w:t>
            </w:r>
          </w:p>
        </w:tc>
      </w:tr>
      <w:tr w14:paraId="3CFE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683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51A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运维服务过程中产生的所有记录、报告需保证真实、完整、准确，并按公司规定分类存档</w:t>
            </w:r>
          </w:p>
        </w:tc>
      </w:tr>
      <w:tr w14:paraId="1A495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060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2EB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定期对运维服务过程开展审计与评估工作，发现问题立即启动整改流程，确保服务持续合规</w:t>
            </w:r>
          </w:p>
        </w:tc>
      </w:tr>
      <w:tr w14:paraId="2CA16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658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C91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过程框架的建立和调整需经过评审和批准，确保与ITSS标准要求一致</w:t>
            </w:r>
          </w:p>
        </w:tc>
      </w:tr>
      <w:tr w14:paraId="21989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F082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4FD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各过程的执行情况应纳入月度服务报告，定期向管理层汇报</w:t>
            </w:r>
          </w:p>
        </w:tc>
      </w:tr>
    </w:tbl>
    <w:p w14:paraId="24D4A07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8773"/>
      <w:bookmarkStart w:id="32" w:name="heading_12"/>
      <w:r>
        <w:t>奖惩机制</w:t>
      </w:r>
      <w:bookmarkEnd w:id="31"/>
      <w:bookmarkEnd w:id="32"/>
    </w:p>
    <w:p w14:paraId="2003A4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7602"/>
      <w:r>
        <w:rPr>
          <w:rFonts w:hint="eastAsia"/>
          <w:lang w:val="en-US" w:eastAsia="zh-CN"/>
        </w:rPr>
        <w:t xml:space="preserve">  </w:t>
      </w:r>
      <w:r>
        <w:t>过程框架奖惩机制表</w:t>
      </w:r>
      <w:bookmarkEnd w:id="3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"/>
        <w:gridCol w:w="7785"/>
      </w:tblGrid>
      <w:tr w14:paraId="259EA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606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7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4D0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A96A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075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奖励</w:t>
            </w:r>
          </w:p>
        </w:tc>
        <w:tc>
          <w:tcPr>
            <w:tcW w:w="7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ABAD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对在提升运维服务质量、提高服务效率等方面有突出贡献的部门或个人，公司将予以公开表彰并给予相应奖励</w:t>
            </w:r>
          </w:p>
        </w:tc>
      </w:tr>
      <w:tr w14:paraId="15649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FF9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惩罚</w:t>
            </w:r>
          </w:p>
        </w:tc>
        <w:tc>
          <w:tcPr>
            <w:tcW w:w="7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72D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对违反本制度规定，导致服务质量下降、造成公司损失的部门或个人，按公司相关管理规定予以处罚</w:t>
            </w:r>
          </w:p>
        </w:tc>
      </w:tr>
    </w:tbl>
    <w:p w14:paraId="6C434E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GoBack"/>
      <w:bookmarkEnd w:id="42"/>
      <w:bookmarkStart w:id="34" w:name="_Toc3590"/>
      <w:bookmarkStart w:id="35" w:name="_Toc251"/>
      <w:r>
        <w:rPr>
          <w:rFonts w:hint="default"/>
          <w:lang w:val="en-US" w:eastAsia="zh-CN"/>
        </w:rPr>
        <w:t>KPI指标</w:t>
      </w:r>
      <w:bookmarkEnd w:id="34"/>
      <w:bookmarkEnd w:id="35"/>
    </w:p>
    <w:p w14:paraId="4FFD1EA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21283"/>
      <w:r>
        <w:rPr>
          <w:rFonts w:hint="default"/>
          <w:lang w:val="en-US" w:eastAsia="zh-CN"/>
        </w:rPr>
        <w:t xml:space="preserve"> KPI指标表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4"/>
        <w:gridCol w:w="3587"/>
        <w:gridCol w:w="1099"/>
        <w:gridCol w:w="1312"/>
      </w:tblGrid>
      <w:tr w14:paraId="63775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5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6CC0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5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F45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561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3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847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3F217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A33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过程框架评价次数</w:t>
            </w:r>
          </w:p>
        </w:tc>
        <w:tc>
          <w:tcPr>
            <w:tcW w:w="35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2CE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年度内过程框架评价次数统计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5DD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1次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057E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</w:t>
            </w:r>
          </w:p>
        </w:tc>
      </w:tr>
    </w:tbl>
    <w:p w14:paraId="3A534A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B88E8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35"/>
      <w:bookmarkStart w:id="38" w:name="_Toc21034"/>
      <w:bookmarkStart w:id="39" w:name="_Toc27382"/>
      <w:r>
        <w:t>输出的文件及记录</w:t>
      </w:r>
      <w:bookmarkEnd w:id="37"/>
      <w:bookmarkEnd w:id="38"/>
      <w:bookmarkEnd w:id="39"/>
    </w:p>
    <w:p w14:paraId="7CF9B2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6410"/>
      <w:bookmarkStart w:id="41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40"/>
      <w:bookmarkEnd w:id="4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37"/>
        <w:gridCol w:w="2385"/>
      </w:tblGrid>
      <w:tr w14:paraId="3FA57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1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D09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文件和记录</w:t>
            </w:r>
          </w:p>
        </w:tc>
        <w:tc>
          <w:tcPr>
            <w:tcW w:w="23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F5F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</w:tr>
      <w:tr w14:paraId="79B6D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EDE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《过程框架设计方案》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B3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2CD2A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4DE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《过程框架设计需求报告》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EB9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55F38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9F6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《过程框架评审记录》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43B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</w:t>
            </w:r>
          </w:p>
        </w:tc>
      </w:tr>
      <w:tr w14:paraId="1E37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C9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《过程框架改进计划》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79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</w:tbl>
    <w:p w14:paraId="1F6BF58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C9E49"/>
    <w:multiLevelType w:val="singleLevel"/>
    <w:tmpl w:val="8E6C9E4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26CAB3A"/>
    <w:multiLevelType w:val="singleLevel"/>
    <w:tmpl w:val="926CAB3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4F59E07"/>
    <w:multiLevelType w:val="singleLevel"/>
    <w:tmpl w:val="94F59E0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E2F6DCD"/>
    <w:multiLevelType w:val="singleLevel"/>
    <w:tmpl w:val="1E2F6DC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A3E9F97"/>
    <w:multiLevelType w:val="singleLevel"/>
    <w:tmpl w:val="5A3E9F9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A1658FB"/>
    <w:multiLevelType w:val="singleLevel"/>
    <w:tmpl w:val="6A1658FB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EECEBCB"/>
    <w:multiLevelType w:val="singleLevel"/>
    <w:tmpl w:val="6EECEBC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799E57F"/>
    <w:multiLevelType w:val="singleLevel"/>
    <w:tmpl w:val="7799E57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317D58"/>
    <w:rsid w:val="359A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</Words>
  <Characters>122</Characters>
  <Lines>0</Lines>
  <Paragraphs>0</Paragraphs>
  <TotalTime>3</TotalTime>
  <ScaleCrop>false</ScaleCrop>
  <LinksUpToDate>false</LinksUpToDate>
  <CharactersWithSpaces>122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2026-09-09T12:00:06Z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