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运维服务级别管理制度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_Toc11016 </w:instrText>
          </w:r>
          <w:r>
            <w:fldChar w:fldCharType="separate"/>
          </w:r>
          <w:r>
            <w:rPr>
              <w:rFonts w:hint="default"/>
              <w:lang w:val="en-US" w:eastAsia="zh-CN"/>
            </w:rPr>
            <w:t>1. 目的</w:t>
          </w:r>
          <w:r>
            <w:tab/>
          </w:r>
          <w:r>
            <w:fldChar w:fldCharType="begin"/>
          </w:r>
          <w:r>
            <w:instrText xml:space="preserve"> PAGEREF _Toc11016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_Toc30426 </w:instrText>
          </w:r>
          <w:r>
            <w:fldChar w:fldCharType="separate"/>
          </w:r>
          <w:r>
            <w:rPr>
              <w:rFonts w:hint="default"/>
              <w:lang w:val="en-US" w:eastAsia="zh-CN"/>
            </w:rPr>
            <w:t>2. 过程定义</w:t>
          </w:r>
          <w:r>
            <w:tab/>
          </w:r>
          <w:r>
            <w:fldChar w:fldCharType="begin"/>
          </w:r>
          <w:r>
            <w:instrText xml:space="preserve"> PAGEREF _Toc30426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_Toc26102 </w:instrText>
          </w:r>
          <w:r>
            <w:fldChar w:fldCharType="separate"/>
          </w:r>
          <w:r>
            <w:rPr>
              <w:rFonts w:hint="default"/>
              <w:lang w:val="en-US" w:eastAsia="zh-CN"/>
            </w:rPr>
            <w:t>2.1. 范围</w:t>
          </w:r>
          <w:r>
            <w:tab/>
          </w:r>
          <w:r>
            <w:fldChar w:fldCharType="begin"/>
          </w:r>
          <w:r>
            <w:instrText xml:space="preserve"> PAGEREF _Toc26102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_Toc32218 </w:instrText>
          </w:r>
          <w:r>
            <w:fldChar w:fldCharType="separate"/>
          </w:r>
          <w:r>
            <w:rPr>
              <w:rFonts w:hint="default"/>
              <w:lang w:val="en-US" w:eastAsia="zh-CN"/>
            </w:rPr>
            <w:t>2.2. 过程负责人</w:t>
          </w:r>
          <w:r>
            <w:tab/>
          </w:r>
          <w:r>
            <w:fldChar w:fldCharType="begin"/>
          </w:r>
          <w:r>
            <w:instrText xml:space="preserve"> PAGEREF _Toc32218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_Toc12211 </w:instrText>
          </w:r>
          <w:r>
            <w:fldChar w:fldCharType="separate"/>
          </w:r>
          <w:r>
            <w:rPr>
              <w:rFonts w:hint="default"/>
              <w:lang w:val="en-US" w:eastAsia="zh-CN"/>
            </w:rPr>
            <w:t>2.3. 主要输入</w:t>
          </w:r>
          <w:r>
            <w:tab/>
          </w:r>
          <w:r>
            <w:fldChar w:fldCharType="begin"/>
          </w:r>
          <w:r>
            <w:instrText xml:space="preserve"> PAGEREF _Toc12211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_Toc29190 </w:instrText>
          </w:r>
          <w:r>
            <w:fldChar w:fldCharType="separate"/>
          </w:r>
          <w:r>
            <w:rPr>
              <w:rFonts w:hint="default"/>
              <w:lang w:val="en-US" w:eastAsia="zh-CN"/>
            </w:rPr>
            <w:t>2.4. 主要输出</w:t>
          </w:r>
          <w:r>
            <w:tab/>
          </w:r>
          <w:r>
            <w:fldChar w:fldCharType="begin"/>
          </w:r>
          <w:r>
            <w:instrText xml:space="preserve"> PAGEREF _Toc29190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_Toc5670 </w:instrText>
          </w:r>
          <w:r>
            <w:fldChar w:fldCharType="separate"/>
          </w:r>
          <w:r>
            <w:rPr>
              <w:rFonts w:hint="default"/>
              <w:lang w:val="en-US" w:eastAsia="zh-CN"/>
            </w:rPr>
            <w:t>2.5. 职责权限</w:t>
          </w:r>
          <w:r>
            <w:tab/>
          </w:r>
          <w:r>
            <w:fldChar w:fldCharType="begin"/>
          </w:r>
          <w:r>
            <w:instrText xml:space="preserve"> PAGEREF _Toc5670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_Toc20587 </w:instrText>
          </w:r>
          <w:r>
            <w:fldChar w:fldCharType="separate"/>
          </w:r>
          <w:r>
            <w:rPr>
              <w:rFonts w:hint="default"/>
              <w:lang w:val="en-US" w:eastAsia="zh-CN"/>
            </w:rPr>
            <w:t>3. 术语</w:t>
          </w:r>
          <w:r>
            <w:tab/>
          </w:r>
          <w:r>
            <w:fldChar w:fldCharType="begin"/>
          </w:r>
          <w:r>
            <w:instrText xml:space="preserve"> PAGEREF _Toc20587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_Toc13792 </w:instrText>
          </w:r>
          <w:r>
            <w:fldChar w:fldCharType="separate"/>
          </w:r>
          <w:r>
            <w:rPr>
              <w:rFonts w:hint="default"/>
              <w:lang w:val="en-US" w:eastAsia="zh-CN"/>
            </w:rPr>
            <w:t>4. 流程</w:t>
          </w:r>
          <w:r>
            <w:tab/>
          </w:r>
          <w:r>
            <w:fldChar w:fldCharType="begin"/>
          </w:r>
          <w:r>
            <w:instrText xml:space="preserve"> PAGEREF _Toc13792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_Toc28711 </w:instrText>
          </w:r>
          <w:r>
            <w:fldChar w:fldCharType="separate"/>
          </w:r>
          <w:r>
            <w:rPr>
              <w:rFonts w:hint="default"/>
              <w:lang w:val="en-US" w:eastAsia="zh-CN"/>
            </w:rPr>
            <w:t>5. 过程描述</w:t>
          </w:r>
          <w:r>
            <w:tab/>
          </w:r>
          <w:r>
            <w:fldChar w:fldCharType="begin"/>
          </w:r>
          <w:r>
            <w:instrText xml:space="preserve"> PAGEREF _Toc28711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_Toc19214 </w:instrText>
          </w:r>
          <w:r>
            <w:fldChar w:fldCharType="separate"/>
          </w:r>
          <w:r>
            <w:rPr>
              <w:rFonts w:hint="default"/>
              <w:lang w:val="en-US" w:eastAsia="zh-CN"/>
            </w:rPr>
            <w:t>5.1. 识别分析、定义服务需求</w:t>
          </w:r>
          <w:r>
            <w:tab/>
          </w:r>
          <w:r>
            <w:fldChar w:fldCharType="begin"/>
          </w:r>
          <w:r>
            <w:instrText xml:space="preserve"> PAGEREF _Toc19214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_Toc20 </w:instrText>
          </w:r>
          <w:r>
            <w:fldChar w:fldCharType="separate"/>
          </w:r>
          <w:r>
            <w:rPr>
              <w:rFonts w:hint="default"/>
              <w:lang w:val="en-US" w:eastAsia="zh-CN"/>
            </w:rPr>
            <w:t>5.2. 签订服务级别协议和支持合同</w:t>
          </w:r>
          <w:r>
            <w:tab/>
          </w:r>
          <w:r>
            <w:fldChar w:fldCharType="begin"/>
          </w:r>
          <w:r>
            <w:instrText xml:space="preserve"> PAGEREF _Toc20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_Toc9982 </w:instrText>
          </w:r>
          <w:r>
            <w:fldChar w:fldCharType="separate"/>
          </w:r>
          <w:r>
            <w:rPr>
              <w:rFonts w:hint="default"/>
              <w:lang w:val="en-US" w:eastAsia="zh-CN"/>
            </w:rPr>
            <w:t>5.2.1. 制定和修订SLA</w:t>
          </w:r>
          <w:r>
            <w:tab/>
          </w:r>
          <w:r>
            <w:fldChar w:fldCharType="begin"/>
          </w:r>
          <w:r>
            <w:instrText xml:space="preserve"> PAGEREF _Toc9982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_Toc23230 </w:instrText>
          </w:r>
          <w:r>
            <w:fldChar w:fldCharType="separate"/>
          </w:r>
          <w:r>
            <w:rPr>
              <w:rFonts w:hint="default"/>
              <w:lang w:val="en-US" w:eastAsia="zh-CN"/>
            </w:rPr>
            <w:t>5.2.2. 制定和修订UC</w:t>
          </w:r>
          <w:r>
            <w:tab/>
          </w:r>
          <w:r>
            <w:fldChar w:fldCharType="begin"/>
          </w:r>
          <w:r>
            <w:instrText xml:space="preserve"> PAGEREF _Toc23230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_Toc5815 </w:instrText>
          </w:r>
          <w:r>
            <w:fldChar w:fldCharType="separate"/>
          </w:r>
          <w:r>
            <w:rPr>
              <w:rFonts w:hint="default"/>
              <w:lang w:val="en-US" w:eastAsia="zh-CN"/>
            </w:rPr>
            <w:t>5.3. 采购管理</w:t>
          </w:r>
          <w:r>
            <w:tab/>
          </w:r>
          <w:r>
            <w:fldChar w:fldCharType="begin"/>
          </w:r>
          <w:r>
            <w:instrText xml:space="preserve"> PAGEREF _Toc5815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_Toc11021 </w:instrText>
          </w:r>
          <w:r>
            <w:fldChar w:fldCharType="separate"/>
          </w:r>
          <w:r>
            <w:rPr>
              <w:rFonts w:hint="default"/>
              <w:lang w:val="en-US" w:eastAsia="zh-CN"/>
            </w:rPr>
            <w:t>5.4. 制定或完善服务目录</w:t>
          </w:r>
          <w:r>
            <w:tab/>
          </w:r>
          <w:r>
            <w:fldChar w:fldCharType="begin"/>
          </w:r>
          <w:r>
            <w:instrText xml:space="preserve"> PAGEREF _Toc11021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_Toc27515 </w:instrText>
          </w:r>
          <w:r>
            <w:fldChar w:fldCharType="separate"/>
          </w:r>
          <w:r>
            <w:rPr>
              <w:rFonts w:hint="default"/>
              <w:lang w:val="en-US" w:eastAsia="zh-CN"/>
            </w:rPr>
            <w:t>5.5. 监控服务级别执行情况</w:t>
          </w:r>
          <w:r>
            <w:tab/>
          </w:r>
          <w:r>
            <w:fldChar w:fldCharType="begin"/>
          </w:r>
          <w:r>
            <w:instrText xml:space="preserve"> PAGEREF _Toc27515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_Toc28494 </w:instrText>
          </w:r>
          <w:r>
            <w:fldChar w:fldCharType="separate"/>
          </w:r>
          <w:r>
            <w:rPr>
              <w:rFonts w:hint="default"/>
              <w:lang w:val="en-US" w:eastAsia="zh-CN"/>
            </w:rPr>
            <w:t>5.6. 执行情况汇报和评审</w:t>
          </w:r>
          <w:r>
            <w:tab/>
          </w:r>
          <w:r>
            <w:fldChar w:fldCharType="begin"/>
          </w:r>
          <w:r>
            <w:instrText xml:space="preserve"> PAGEREF _Toc28494 \h </w:instrText>
          </w:r>
          <w:r>
            <w:fldChar w:fldCharType="separate"/>
          </w:r>
          <w:r>
            <w:t>10</w:t>
          </w:r>
          <w:r>
            <w:fldChar w:fldCharType="end"/>
          </w:r>
          <w:r>
            <w:fldChar w:fldCharType="end"/>
          </w:r>
        </w:p>
        <w:p>
          <w:pPr>
            <w:pStyle w:val="TOC3"/>
            <w:tabs>
              <w:tab w:val="right" w:leader="dot" w:pos="8306"/>
            </w:tabs>
          </w:pPr>
          <w:r>
            <w:fldChar w:fldCharType="begin"/>
          </w:r>
          <w:r>
            <w:instrText xml:space="preserve"> HYPERLINK \l _Toc7211 </w:instrText>
          </w:r>
          <w:r>
            <w:fldChar w:fldCharType="separate"/>
          </w:r>
          <w:r>
            <w:rPr>
              <w:rFonts w:hint="default"/>
              <w:lang w:val="en-US" w:eastAsia="zh-CN"/>
            </w:rPr>
            <w:t>5.6.1. 执行情况汇报</w:t>
          </w:r>
          <w:r>
            <w:tab/>
          </w:r>
          <w:r>
            <w:fldChar w:fldCharType="begin"/>
          </w:r>
          <w:r>
            <w:instrText xml:space="preserve"> PAGEREF _Toc7211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_Toc5507 </w:instrText>
          </w:r>
          <w:r>
            <w:fldChar w:fldCharType="separate"/>
          </w:r>
          <w:r>
            <w:rPr>
              <w:rFonts w:hint="default"/>
              <w:lang w:val="en-US" w:eastAsia="zh-CN"/>
            </w:rPr>
            <w:t>5.6.2. 管理评审</w:t>
          </w:r>
          <w:r>
            <w:tab/>
          </w:r>
          <w:r>
            <w:fldChar w:fldCharType="begin"/>
          </w:r>
          <w:r>
            <w:instrText xml:space="preserve"> PAGEREF _Toc5507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_Toc28381 </w:instrText>
          </w:r>
          <w:r>
            <w:fldChar w:fldCharType="separate"/>
          </w:r>
          <w:r>
            <w:rPr>
              <w:rFonts w:hint="default"/>
              <w:lang w:val="en-US" w:eastAsia="zh-CN"/>
            </w:rPr>
            <w:t>5.6.3. 管理评审内容</w:t>
          </w:r>
          <w:r>
            <w:tab/>
          </w:r>
          <w:r>
            <w:fldChar w:fldCharType="begin"/>
          </w:r>
          <w:r>
            <w:instrText xml:space="preserve"> PAGEREF _Toc28381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_Toc795 </w:instrText>
          </w:r>
          <w:r>
            <w:fldChar w:fldCharType="separate"/>
          </w:r>
          <w:r>
            <w:rPr>
              <w:rFonts w:hint="default"/>
              <w:lang w:val="en-US" w:eastAsia="zh-CN"/>
            </w:rPr>
            <w:t>5.7. 持续改进</w:t>
          </w:r>
          <w:r>
            <w:tab/>
          </w:r>
          <w:r>
            <w:fldChar w:fldCharType="begin"/>
          </w:r>
          <w:r>
            <w:instrText xml:space="preserve"> PAGEREF _Toc795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_Toc21549 </w:instrText>
          </w:r>
          <w:r>
            <w:fldChar w:fldCharType="separate"/>
          </w:r>
          <w:r>
            <w:rPr>
              <w:rFonts w:hint="default"/>
              <w:lang w:val="en-US" w:eastAsia="zh-CN"/>
            </w:rPr>
            <w:t>6. KPI指标</w:t>
          </w:r>
          <w:r>
            <w:tab/>
          </w:r>
          <w:r>
            <w:fldChar w:fldCharType="begin"/>
          </w:r>
          <w:r>
            <w:instrText xml:space="preserve"> PAGEREF _Toc21549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_Toc11139 </w:instrText>
          </w:r>
          <w:r>
            <w:fldChar w:fldCharType="separate"/>
          </w:r>
          <w:r>
            <w:rPr>
              <w:rFonts w:hint="default"/>
              <w:lang w:val="en-US" w:eastAsia="zh-CN"/>
            </w:rPr>
            <w:t>7. 相关文件</w:t>
          </w:r>
          <w:r>
            <w:tab/>
          </w:r>
          <w:r>
            <w:fldChar w:fldCharType="begin"/>
          </w:r>
          <w:r>
            <w:instrText xml:space="preserve"> PAGEREF _Toc11139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_Toc10767 </w:instrText>
          </w:r>
          <w:r>
            <w:fldChar w:fldCharType="separate"/>
          </w:r>
          <w:r>
            <w:rPr>
              <w:rFonts w:hint="default"/>
              <w:lang w:val="en-US" w:eastAsia="zh-CN"/>
            </w:rPr>
            <w:t>8. 相关记录</w:t>
          </w:r>
          <w:r>
            <w:tab/>
          </w:r>
          <w:r>
            <w:fldChar w:fldCharType="begin"/>
          </w:r>
          <w:r>
            <w:instrText xml:space="preserve"> PAGEREF _Toc10767 \h </w:instrText>
          </w:r>
          <w:r>
            <w:fldChar w:fldCharType="separate"/>
          </w:r>
          <w:r>
            <w:t>12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_Toc2599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主要输入表</w:t>
      </w:r>
      <w:r>
        <w:tab/>
      </w:r>
      <w:r>
        <w:fldChar w:fldCharType="begin"/>
      </w:r>
      <w:r>
        <w:instrText xml:space="preserve"> PAGEREF _Toc2599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_Toc10232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default"/>
          <w:lang w:val="en-US" w:eastAsia="zh-CN"/>
        </w:rPr>
        <w:t xml:space="preserve"> 主要输出表</w:t>
      </w:r>
      <w:r>
        <w:tab/>
      </w:r>
      <w:r>
        <w:fldChar w:fldCharType="begin"/>
      </w:r>
      <w:r>
        <w:instrText xml:space="preserve"> PAGEREF _Toc10232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_Toc9572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default"/>
          <w:lang w:val="en-US" w:eastAsia="zh-CN"/>
        </w:rPr>
        <w:t xml:space="preserve"> 职责权限表</w:t>
      </w:r>
      <w:r>
        <w:tab/>
      </w:r>
      <w:r>
        <w:fldChar w:fldCharType="begin"/>
      </w:r>
      <w:r>
        <w:instrText xml:space="preserve"> PAGEREF _Toc9572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_Toc14418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_Toc14418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_Toc4735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_Toc4735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_Toc17594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_Toc17594 \h </w:instrText>
      </w:r>
      <w:r>
        <w:fldChar w:fldCharType="separate"/>
      </w:r>
      <w:r>
        <w:t>12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_Toc21949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服务级别管理流程图</w:t>
      </w:r>
      <w:r>
        <w:tab/>
      </w:r>
      <w:r>
        <w:fldChar w:fldCharType="begin"/>
      </w:r>
      <w:r>
        <w:instrText xml:space="preserve"> PAGEREF _Toc21949 \h </w:instrText>
      </w:r>
      <w:r>
        <w:fldChar w:fldCharType="separate"/>
      </w:r>
      <w:r>
        <w:t>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11016"/>
      <w:r>
        <w:rPr>
          <w:rFonts w:hint="default"/>
          <w:lang w:val="en-US" w:eastAsia="zh-CN"/>
        </w:rPr>
        <w:t>目的</w:t>
      </w:r>
      <w:bookmarkEnd w:id="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本程序旨在对‌数飞科技(宁波)有限公司（以下简称“公司”）的运维服务级别进行协商、监控和报告，确保实现双方协商确定的服务等级，且公司提供的运维服务得到持续的维护和改进。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有效的服务级别管理可以改进客户业务运作的绩效并因此而提高客户满意度。公司能够更加清楚被期望提供什么和可以实际提供什么，从而更好地计划、预算和管理所提供的服务。</w:t>
      </w:r>
    </w:p>
    <w:p>
      <w:pPr>
        <w:pStyle w:val="a1"/>
        <w:bidi w:val="0"/>
        <w:rPr>
          <w:rFonts w:hint="default"/>
          <w:lang w:val="en-US" w:eastAsia="zh-CN"/>
        </w:rPr>
      </w:pPr>
      <w:r>
        <w:rPr>
          <w:rFonts w:hint="default"/>
          <w:lang w:val="en-US" w:eastAsia="zh-CN"/>
        </w:rPr>
        <w:t>本程序的具体目的如下：</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整合提供服务所需的各种要素；</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生成清晰地描述服务项目中各种要素的文档；</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以客户能够理解并涉及的术语对所要提供的服务进行描述；</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整合战略和业务需求；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以可控的方式改进服务提供。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30426"/>
      <w:r>
        <w:rPr>
          <w:rFonts w:hint="default"/>
          <w:lang w:val="en-US" w:eastAsia="zh-CN"/>
        </w:rPr>
        <w:t>过程定义</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6102"/>
      <w:r>
        <w:rPr>
          <w:rFonts w:hint="default"/>
          <w:lang w:val="en-US" w:eastAsia="zh-CN"/>
        </w:rPr>
        <w:t>范围</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本程序适用于运维服务所覆盖的所有部门，包括运维部、研发部、质量部、人力部、采购部等。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本程序适用的服务活动主要包括在服务提供过程中发生的服务提供方与其他相关主体之间就服务质量所进行的协调活动，主要包括两个协议所调整和规范的各方主体的行为及活动：</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服务级别协议（SLA）</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支持合同（UC）</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32218"/>
      <w:r>
        <w:rPr>
          <w:rFonts w:hint="default"/>
          <w:lang w:val="en-US" w:eastAsia="zh-CN"/>
        </w:rPr>
        <w:t>过程负责人</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服务级别管理负责人：运维部经理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2211"/>
      <w:r>
        <w:rPr>
          <w:rFonts w:hint="default"/>
          <w:lang w:val="en-US" w:eastAsia="zh-CN"/>
        </w:rPr>
        <w:t>主要输入</w:t>
      </w:r>
      <w:bookmarkEnd w:id="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 w:name="_Toc2599"/>
      <w:r>
        <w:rPr>
          <w:rFonts w:hint="default"/>
          <w:lang w:val="en-US" w:eastAsia="zh-CN"/>
        </w:rPr>
        <w:t xml:space="preserve"> 主要输入表</w:t>
      </w:r>
      <w:bookmarkEnd w:id="6"/>
    </w:p>
    <w:tbl>
      <w:tblPr>
        <w:tblStyle w:val="TableNormal"/>
        <w:tblW w:w="8495"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46"/>
        <w:gridCol w:w="4449"/>
      </w:tblGrid>
      <w:tr>
        <w:tblPrEx>
          <w:tblW w:w="8495"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输入</w:t>
            </w:r>
          </w:p>
        </w:tc>
        <w:tc>
          <w:tcPr>
            <w:tcW w:w="444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来源</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服务合同</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与客户签署的服务合同</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客户承诺的服务协议</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与客户约定的服务承诺</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会议纪要</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各部门例会达成的决议</w:t>
            </w:r>
          </w:p>
        </w:tc>
      </w:tr>
      <w:tr>
        <w:tblPrEx>
          <w:tblW w:w="8495" w:type="dxa"/>
          <w:tblInd w:w="0" w:type="dxa"/>
          <w:shd w:val="clear" w:color="auto" w:fill="auto"/>
          <w:tblCellMar>
            <w:top w:w="15" w:type="dxa"/>
            <w:left w:w="15" w:type="dxa"/>
            <w:bottom w:w="15" w:type="dxa"/>
            <w:right w:w="15" w:type="dxa"/>
          </w:tblCellMar>
        </w:tblPrEx>
        <w:trPr>
          <w:trHeight w:val="0"/>
        </w:trPr>
        <w:tc>
          <w:tcPr>
            <w:tcW w:w="40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管理评审结果</w:t>
            </w:r>
          </w:p>
        </w:tc>
        <w:tc>
          <w:tcPr>
            <w:tcW w:w="444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公司的管理评审程序</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9190"/>
      <w:r>
        <w:rPr>
          <w:rFonts w:hint="default"/>
          <w:lang w:val="en-US" w:eastAsia="zh-CN"/>
        </w:rPr>
        <w:t>主要输出</w:t>
      </w:r>
      <w:bookmarkEnd w:id="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8" w:name="_Toc10232"/>
      <w:r>
        <w:rPr>
          <w:rFonts w:hint="default"/>
          <w:lang w:val="en-US" w:eastAsia="zh-CN"/>
        </w:rPr>
        <w:t xml:space="preserve"> 主要输出表</w:t>
      </w:r>
      <w:bookmarkEnd w:id="8"/>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875"/>
        <w:gridCol w:w="5623"/>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87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c>
          <w:tcPr>
            <w:tcW w:w="56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去向/用途</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服务规范（运维工作手册）</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作业指导书</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相关部门</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服务级别协议</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承诺给客户的服务承诺；如客户无特别要求，运维部经理需整理服务承诺作为服务目标</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组织级服务目录</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公司级服务目录</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项目级服务目录</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具体项目服务目录</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服务改进计划</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服务改进管理流程</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服务需求说明书</w:t>
            </w:r>
          </w:p>
        </w:tc>
        <w:tc>
          <w:tcPr>
            <w:tcW w:w="56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调查分析用户需求</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5670"/>
      <w:r>
        <w:rPr>
          <w:rFonts w:hint="default"/>
          <w:lang w:val="en-US" w:eastAsia="zh-CN"/>
        </w:rPr>
        <w:t>职责权限</w:t>
      </w:r>
      <w:bookmarkEnd w:id="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0" w:name="_Toc9572"/>
      <w:r>
        <w:rPr>
          <w:rFonts w:hint="default"/>
          <w:lang w:val="en-US" w:eastAsia="zh-CN"/>
        </w:rPr>
        <w:t xml:space="preserve"> 职责权限表</w:t>
      </w:r>
      <w:bookmarkEnd w:id="10"/>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3393"/>
        <w:gridCol w:w="5105"/>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510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服务级别管理负责人</w:t>
            </w: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制定和更新服务目录；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定义和维持有效的服务级别管理流程，包括：</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确定服务级别结构；</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提出外部供应商服务支持请求；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更新现有的服务改进方案；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与有关方面协商谈判，参与合同评审，参与签订和维护SLA和UC；</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评审客户服务质量，必要时采取改进措施。</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eastAsia"/>
                <w:b/>
                <w:bCs/>
                <w:i w:val="0"/>
                <w:iCs w:val="0"/>
                <w:caps w:val="0"/>
                <w:snapToGrid w:val="0"/>
                <w:color w:val="000000"/>
                <w:spacing w:val="0"/>
                <w:kern w:val="0"/>
                <w:sz w:val="18"/>
                <w:szCs w:val="18"/>
                <w:lang w:val="en-US" w:eastAsia="zh-CN"/>
              </w:rPr>
              <w:t>运维项目经理</w:t>
            </w: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执行SLA、UC的制定或修订工作。</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客户代表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提出服务建议和需求。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研发部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参与草拟和签订UC；</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负责监督运维服务项目交付物质量管理；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为满足服务级别提供相应服务支持；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定期提供服务报告。</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人力部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负责供应商管理；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负责供应商支持合同询价、采购等；</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SLA、UC合同等归档、保管；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负责业务合同的管理；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有关签订SLA、UC过程的组织、协调。</w:t>
            </w:r>
          </w:p>
        </w:tc>
      </w:tr>
      <w:tr>
        <w:tblPrEx>
          <w:tblW w:w="8498" w:type="dxa"/>
          <w:jc w:val="center"/>
          <w:shd w:val="clear" w:color="auto" w:fill="auto"/>
          <w:tblCellMar>
            <w:top w:w="15" w:type="dxa"/>
            <w:left w:w="15" w:type="dxa"/>
            <w:bottom w:w="15" w:type="dxa"/>
            <w:right w:w="15" w:type="dxa"/>
          </w:tblCellMar>
        </w:tblPrEx>
        <w:trPr>
          <w:trHeight w:val="0"/>
          <w:jc w:val="center"/>
        </w:trPr>
        <w:tc>
          <w:tcPr>
            <w:tcW w:w="339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质量部</w:t>
            </w:r>
          </w:p>
        </w:tc>
        <w:tc>
          <w:tcPr>
            <w:tcW w:w="510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负责监控服务级别过程的组织级质量管控。</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0587"/>
      <w:r>
        <w:rPr>
          <w:rFonts w:hint="default"/>
          <w:lang w:val="en-US" w:eastAsia="zh-CN"/>
        </w:rPr>
        <w:t>术语</w:t>
      </w:r>
      <w:bookmarkEnd w:id="11"/>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14418"/>
      <w:r>
        <w:rPr>
          <w:rFonts w:hint="default"/>
          <w:lang w:val="en-US" w:eastAsia="zh-CN"/>
        </w:rPr>
        <w:t xml:space="preserve"> 术语定义表</w:t>
      </w:r>
      <w:bookmarkEnd w:id="12"/>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80"/>
        <w:gridCol w:w="7018"/>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01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服务级别管理（SLM）</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对服务的提供进行协商、定义、评价、管理以及以可接受的成本改进服务质量的流程。旨在服务质量的供应与需求、客户关系和服务成本之间找到合适的平衡点。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服务级别协议（SLA）</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规范流程、确保所有组件和承诺均配置妥当，以便为本服务项目提供优化的服务性能。</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支持合同（UC）</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与外部供应商就某项服务的供应所签订的合同；通常是正式的合同，而SLA通常不是法律文本。</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服务级别管理负责人</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对服务级别管理流程进行控制的人员，确保该流程有效地运作并提供预定的效益。</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8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服务目录</w:t>
            </w:r>
          </w:p>
        </w:tc>
        <w:tc>
          <w:tcPr>
            <w:tcW w:w="701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有关可用的服务资源及这些服务的服务级别的详细说明。</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3792"/>
      <w:r>
        <w:rPr>
          <w:rFonts w:hint="default"/>
          <w:lang w:val="en-US" w:eastAsia="zh-CN"/>
        </w:rPr>
        <w:t>流程</w:t>
      </w:r>
      <w:bookmarkEnd w:id="1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4" w:name="_Toc21949"/>
      <w:r>
        <w:rPr>
          <w:rFonts w:hint="default"/>
          <w:lang w:val="en-US" w:eastAsia="zh-CN"/>
        </w:rPr>
        <w:t xml:space="preserve"> 服务级别管理流程图</w:t>
      </w:r>
      <w:bookmarkEnd w:id="1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61.1pt;width:348.9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8711"/>
      <w:r>
        <w:rPr>
          <w:rFonts w:hint="default"/>
          <w:lang w:val="en-US" w:eastAsia="zh-CN"/>
        </w:rPr>
        <w:t>过程描述</w:t>
      </w:r>
      <w:bookmarkEnd w:id="1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9214"/>
      <w:r>
        <w:rPr>
          <w:rFonts w:hint="default"/>
          <w:lang w:val="en-US" w:eastAsia="zh-CN"/>
        </w:rPr>
        <w:t>识别分析、定义服务需求</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r>
        <w:rPr>
          <w:rFonts w:hint="default"/>
          <w:lang w:val="en-US" w:eastAsia="zh-CN"/>
        </w:rPr>
        <w:t>对客户签署的服务合同、会议纪要、管理评审结果等内容进行分析、设计与监控，确定客户服务运行的需求，形成《服务需求说明书》。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主要工作包括：</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了解客户对业务服务的期望；</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服务必须处于可用状态的时间和天数；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服务持续性需求；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提供运维服务所需的内部协作部门；</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在定义服务时需考虑的当前测试方法或质量标准的参考基准；</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内部对服务及其需要组件的详细描述；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关于服务实施和提供方式的说明；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关于必要质量控制程序的说明；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定义服务级别的标准：可用性、响应时间、解决时间等。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以原有服务规范为基础，随着服务的不断改进和提升，为满足客户服务需求，运维部应制定新业务的服务规范，并继续完善现有业务的服务规范。服务规范包括服务交付所实施的流程、运行监控及日常维护管理的技术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运维部根据识别、分析和定义的服务级别需求，增订/修订服务规范的内容，提交相关部门审核批准后发布。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0"/>
      <w:r>
        <w:rPr>
          <w:rFonts w:hint="default"/>
          <w:lang w:val="en-US" w:eastAsia="zh-CN"/>
        </w:rPr>
        <w:t>签订服务级别协议和支持合同</w:t>
      </w:r>
      <w:bookmarkEnd w:id="1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9982"/>
      <w:r>
        <w:rPr>
          <w:rFonts w:hint="default"/>
          <w:lang w:val="en-US" w:eastAsia="zh-CN"/>
        </w:rPr>
        <w:t>制定和修订SLA</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r>
        <w:rPr>
          <w:rFonts w:hint="default"/>
          <w:lang w:val="en-US" w:eastAsia="zh-CN"/>
        </w:rPr>
        <w:t>执行《服务级别协议》的制定或修订工作：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在确定《服务级别协议》结构时，先就整个公司的组织级运维服务目录进行定义，并制定总体性的以服务为基础的服务级别协议模型；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《服务级别协议》具有层次结构，表现为多个层次上的框架协议；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每一层次有其自身的详细程度：最高层承诺针对提供给整个组织的一般服务；较低层次承诺则与具体客户相关；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SLA须由客户确认后，提交运维部评审，通过后再经管理层评审；此评审活动应每年至少一次，评审结果形成《服务级别协议评审记录》；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客户提出的SLA变更请求，须由运维部评审通过后，再经管理层评审；对SLA的修订应使用变更管理流程进行控制；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《服务级别协议》经运维部讨论通过后，正式告知客户。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3230"/>
      <w:r>
        <w:rPr>
          <w:rFonts w:hint="default"/>
          <w:lang w:val="en-US" w:eastAsia="zh-CN"/>
        </w:rPr>
        <w:t>制定和修订UC</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为达成《服务级别协议》目标，如需第三方供应商支持，人力部经理需与外部供应商签订UC。UC必须考虑：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以《服务级别协议》为依据，制定相应的UC；</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《服务级别协议》的任何修改补充，均应在UC中得到修订；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第三方支持合同（UC）需通过合同评审，以公司名义与供应商签订。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运维部经理参与支持合同的协商、草拟、修订和终止工作。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当客户要求签订、修改或终止签有UC的服务合同时，运维部经理需同时向公司提出申请，要求签订、修改或终止相应的UC。</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5815"/>
      <w:r>
        <w:rPr>
          <w:rFonts w:hint="default"/>
          <w:lang w:val="en-US" w:eastAsia="zh-CN"/>
        </w:rPr>
        <w:t>采购管理</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运维部经理提出采购申请，人力部负责具体的采购管理。采购管理参照《供应商管理制度》执行。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11021"/>
      <w:r>
        <w:rPr>
          <w:rFonts w:hint="default"/>
          <w:lang w:val="en-US" w:eastAsia="zh-CN"/>
        </w:rPr>
        <w:t>制定或完善服务目录</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运维部经理需针对服务项目制定或完善服务目录，注意要点：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尽量避免技术术语，使用符合业务的语言；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从客户角度看待问题，以此方法识别相关信息；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确保运维部及相关人员均可获取该文档。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7515"/>
      <w:r>
        <w:rPr>
          <w:rFonts w:hint="default"/>
          <w:lang w:val="en-US" w:eastAsia="zh-CN"/>
        </w:rPr>
        <w:t>监控服务级别执行情况</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服务级别必须从客户角度加以测度和评价：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监控不限于技术方面，应包括流程方面问题。例如，客户在得到服务已恢复通知前，仍认为服务不可用；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可用性管理和能力管理通常可提供与服务级别相关的技术目标实施情况信息；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必要时还应由服务支持流程（特别是事件管理）提供信息；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仅评价内部参数不够，因这些信息与客户体验无关。系统响应时间、升级时间、支持等方面也应尽量量化；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需结合来自系统的可用性和服务管理两方面的管理信息，才能获得全面考察。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8494"/>
      <w:r>
        <w:rPr>
          <w:rFonts w:hint="default"/>
          <w:lang w:val="en-US" w:eastAsia="zh-CN"/>
        </w:rPr>
        <w:t>执行情况汇报和评审</w:t>
      </w:r>
      <w:bookmarkEnd w:id="23"/>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7211"/>
      <w:r>
        <w:rPr>
          <w:rFonts w:hint="default"/>
          <w:lang w:val="en-US" w:eastAsia="zh-CN"/>
        </w:rPr>
        <w:t>执行情况汇报</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各部门每季度组织部门例会，就本季度服务情况进行汇报总结，形成《会议纪要》，提出相关问题并落实人员改进。</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5507"/>
      <w:r>
        <w:rPr>
          <w:rFonts w:hint="default"/>
          <w:lang w:val="en-US" w:eastAsia="zh-CN"/>
        </w:rPr>
        <w:t>管理评审</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评审频次：每年至少进行一次，对公司阶段工作进行评审分析；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追加评审：发生紧急和重大事件时需追加服务管理评审。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8381"/>
      <w:r>
        <w:rPr>
          <w:rFonts w:hint="default"/>
          <w:lang w:val="en-US" w:eastAsia="zh-CN"/>
        </w:rPr>
        <w:t>管理评审内容</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自上次评审以来公告的服务级别承诺、服务级别协议、与服务有关的问题；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服务趋势确认、约定服务级别范围内对服务所做的变更；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对程序所做的变更及对所需额外资源的估计；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未能提供约定服务级别的原因分析。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管理评审具体执行参照公司《管理评审管理制度》。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795"/>
      <w:r>
        <w:rPr>
          <w:rFonts w:hint="default"/>
          <w:lang w:val="en-US" w:eastAsia="zh-CN"/>
        </w:rPr>
        <w:t>持续改进</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运维部经理根据管理评审结果或部门例会《会议纪要》决议，识别问题和差距，提交持续改进：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填写《服务改进计划表》及跟踪表，分配额外人员和资源；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必要时对服务级别协议中定义的服务级别进行修改；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修改有关程序；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修改支持合同。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持续改进过程参照《能力改进管理制度》执行。</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1549"/>
      <w:r>
        <w:rPr>
          <w:rFonts w:hint="default"/>
          <w:lang w:val="en-US" w:eastAsia="zh-CN"/>
        </w:rPr>
        <w:t>KPI指标</w:t>
      </w:r>
      <w:bookmarkEnd w:id="28"/>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4735"/>
      <w:r>
        <w:rPr>
          <w:rFonts w:hint="default"/>
          <w:lang w:val="en-US" w:eastAsia="zh-CN"/>
        </w:rPr>
        <w:t xml:space="preserve"> KPI指标表</w:t>
      </w:r>
      <w:bookmarkEnd w:id="2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5197"/>
        <w:gridCol w:w="872"/>
        <w:gridCol w:w="100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4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519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87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0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SLA达成率</w:t>
            </w:r>
            <w:bookmarkStart w:id="30" w:name="_GoBack"/>
            <w:bookmarkEnd w:id="30"/>
          </w:p>
        </w:tc>
        <w:tc>
          <w:tcPr>
            <w:tcW w:w="519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当</w:t>
            </w:r>
            <w:r>
              <w:rPr>
                <w:rFonts w:cs="Arial" w:hint="eastAsia"/>
                <w:snapToGrid w:val="0"/>
                <w:color w:val="000000"/>
                <w:kern w:val="0"/>
                <w:sz w:val="24"/>
                <w:szCs w:val="21"/>
                <w:vertAlign w:val="baseline"/>
                <w:lang w:val="en-US" w:eastAsia="zh-CN" w:bidi="ar-SA"/>
              </w:rPr>
              <w:t>前</w:t>
            </w:r>
            <w:r>
              <w:rPr>
                <w:rFonts w:ascii="Arial" w:eastAsia="宋体" w:hAnsi="Arial" w:cs="Arial" w:hint="default"/>
                <w:snapToGrid w:val="0"/>
                <w:color w:val="000000"/>
                <w:kern w:val="0"/>
                <w:sz w:val="24"/>
                <w:szCs w:val="21"/>
                <w:vertAlign w:val="baseline"/>
                <w:lang w:val="en-US" w:eastAsia="zh-CN" w:bidi="ar-SA"/>
              </w:rPr>
              <w:t>已达成的SLA数 / 当</w:t>
            </w:r>
            <w:r>
              <w:rPr>
                <w:rFonts w:cs="Arial" w:hint="eastAsia"/>
                <w:snapToGrid w:val="0"/>
                <w:color w:val="000000"/>
                <w:kern w:val="0"/>
                <w:sz w:val="24"/>
                <w:szCs w:val="21"/>
                <w:vertAlign w:val="baseline"/>
                <w:lang w:val="en-US" w:eastAsia="zh-CN" w:bidi="ar-SA"/>
              </w:rPr>
              <w:t>前</w:t>
            </w:r>
            <w:r>
              <w:rPr>
                <w:rFonts w:ascii="Arial" w:eastAsia="宋体" w:hAnsi="Arial" w:cs="Arial" w:hint="default"/>
                <w:snapToGrid w:val="0"/>
                <w:color w:val="000000"/>
                <w:kern w:val="0"/>
                <w:sz w:val="24"/>
                <w:szCs w:val="21"/>
                <w:vertAlign w:val="baseline"/>
                <w:lang w:val="en-US" w:eastAsia="zh-CN" w:bidi="ar-SA"/>
              </w:rPr>
              <w:t>应达成的SLA总数 × 100%</w:t>
            </w:r>
          </w:p>
        </w:tc>
        <w:tc>
          <w:tcPr>
            <w:tcW w:w="87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Segoe UI" w:eastAsia="Segoe UI" w:hAnsi="Segoe UI" w:cs="Segoe UI" w:hint="default"/>
                <w:i w:val="0"/>
                <w:iCs w:val="0"/>
                <w:caps w:val="0"/>
                <w:snapToGrid w:val="0"/>
                <w:color w:val="000000"/>
                <w:spacing w:val="0"/>
                <w:kern w:val="0"/>
                <w:sz w:val="18"/>
                <w:szCs w:val="18"/>
                <w:lang w:val="en-US" w:eastAsia="zh-CN"/>
              </w:rPr>
              <w:t>≥95%</w:t>
            </w:r>
          </w:p>
        </w:tc>
        <w:tc>
          <w:tcPr>
            <w:tcW w:w="100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SLA评审次数</w:t>
            </w:r>
          </w:p>
        </w:tc>
        <w:tc>
          <w:tcPr>
            <w:tcW w:w="51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SLA评审次数统计</w:t>
            </w:r>
          </w:p>
        </w:tc>
        <w:tc>
          <w:tcPr>
            <w:tcW w:w="87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Segoe UI" w:eastAsia="Segoe UI" w:hAnsi="Segoe UI" w:cs="Segoe UI" w:hint="default"/>
                <w:i w:val="0"/>
                <w:iCs w:val="0"/>
                <w:caps w:val="0"/>
                <w:snapToGrid w:val="0"/>
                <w:color w:val="000000"/>
                <w:spacing w:val="0"/>
                <w:kern w:val="0"/>
                <w:sz w:val="18"/>
                <w:szCs w:val="18"/>
                <w:lang w:val="en-US" w:eastAsia="zh-CN"/>
              </w:rPr>
              <w:t>≥</w:t>
            </w:r>
            <w:r>
              <w:rPr>
                <w:rFonts w:ascii="Segoe UI" w:eastAsia="Segoe UI" w:hAnsi="Segoe UI" w:cs="Segoe UI" w:hint="eastAsia"/>
                <w:i w:val="0"/>
                <w:iCs w:val="0"/>
                <w:caps w:val="0"/>
                <w:snapToGrid w:val="0"/>
                <w:color w:val="000000"/>
                <w:spacing w:val="0"/>
                <w:kern w:val="0"/>
                <w:sz w:val="18"/>
                <w:szCs w:val="18"/>
                <w:lang w:val="en-US" w:eastAsia="zh-CN"/>
              </w:rPr>
              <w:t>1次</w:t>
            </w:r>
          </w:p>
        </w:tc>
        <w:tc>
          <w:tcPr>
            <w:tcW w:w="100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年度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11139"/>
      <w:r>
        <w:rPr>
          <w:rFonts w:hint="default"/>
          <w:lang w:val="en-US" w:eastAsia="zh-CN"/>
        </w:rPr>
        <w:t>相关文件</w:t>
      </w:r>
      <w:bookmarkEnd w:id="31"/>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《供应商管理制度》</w:t>
      </w:r>
      <w:r>
        <w:rPr>
          <w:rFonts w:hint="default"/>
          <w:lang w:val="en-US" w:eastAsia="zh-CN"/>
        </w:rPr>
        <w:tab/>
      </w:r>
      <w:r>
        <w:rPr>
          <w:rFonts w:hint="default"/>
          <w:lang w:val="en-US" w:eastAsia="zh-CN"/>
        </w:rPr>
        <w:t>SFKJ-ITSS-</w:t>
      </w:r>
      <w:r>
        <w:rPr>
          <w:rFonts w:hint="eastAsia"/>
          <w:lang w:val="en-US" w:eastAsia="zh-CN"/>
        </w:rPr>
        <w:t>0807</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《管理评审管理制度》</w:t>
      </w:r>
      <w:r>
        <w:rPr>
          <w:rFonts w:hint="default"/>
          <w:lang w:val="en-US" w:eastAsia="zh-CN"/>
        </w:rPr>
        <w:tab/>
      </w:r>
      <w:r>
        <w:rPr>
          <w:rFonts w:hint="default"/>
          <w:lang w:val="en-US" w:eastAsia="zh-CN"/>
        </w:rPr>
        <w:t>SFKJ-ITSS-0402</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《能力改进管理制度》</w:t>
      </w:r>
      <w:r>
        <w:rPr>
          <w:rFonts w:hint="default"/>
          <w:lang w:val="en-US" w:eastAsia="zh-CN"/>
        </w:rPr>
        <w:tab/>
      </w:r>
      <w:r>
        <w:rPr>
          <w:rFonts w:hint="default"/>
          <w:lang w:val="en-US" w:eastAsia="zh-CN"/>
        </w:rPr>
        <w:t>SFKJ-ITSS-0302</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10767"/>
      <w:r>
        <w:rPr>
          <w:rFonts w:hint="default"/>
          <w:lang w:val="en-US" w:eastAsia="zh-CN"/>
        </w:rPr>
        <w:t>相关记录</w:t>
      </w:r>
      <w:bookmarkEnd w:id="3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3" w:name="_Toc17594"/>
      <w:r>
        <w:rPr>
          <w:rFonts w:hint="default"/>
          <w:lang w:val="en-US" w:eastAsia="zh-CN"/>
        </w:rPr>
        <w:t xml:space="preserve"> 相关记录表</w:t>
      </w:r>
      <w:bookmarkEnd w:id="3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817"/>
        <w:gridCol w:w="1839"/>
        <w:gridCol w:w="18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18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《服务目录》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《项目服务级别协议或服务合同》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《服务级别协议评审记录》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481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《服务改进计划》</w:t>
            </w:r>
          </w:p>
        </w:tc>
        <w:tc>
          <w:tcPr>
            <w:tcW w:w="183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45B3CA9"/>
    <w:multiLevelType w:val="singleLevel"/>
    <w:tmpl w:val="A45B3CA9"/>
    <w:lvl w:ilvl="0">
      <w:start w:val="1"/>
      <w:numFmt w:val="decimal"/>
      <w:lvlText w:val="%1."/>
      <w:lvlJc w:val="left"/>
      <w:pPr>
        <w:ind w:left="425" w:hanging="425"/>
      </w:pPr>
      <w:rPr>
        <w:rFonts w:hint="default"/>
      </w:rPr>
    </w:lvl>
  </w:abstractNum>
  <w:abstractNum w:abstractNumId="2">
    <w:nsid w:val="B8E6C3FD"/>
    <w:multiLevelType w:val="singleLevel"/>
    <w:tmpl w:val="B8E6C3FD"/>
    <w:lvl w:ilvl="0">
      <w:start w:val="1"/>
      <w:numFmt w:val="decimal"/>
      <w:lvlText w:val="%1."/>
      <w:lvlJc w:val="left"/>
      <w:pPr>
        <w:ind w:left="425" w:hanging="425"/>
      </w:pPr>
      <w:rPr>
        <w:rFonts w:hint="default"/>
      </w:rPr>
    </w:lvl>
  </w:abstractNum>
  <w:abstractNum w:abstractNumId="3">
    <w:nsid w:val="0C39644A"/>
    <w:multiLevelType w:val="singleLevel"/>
    <w:tmpl w:val="0C39644A"/>
    <w:lvl w:ilvl="0">
      <w:start w:val="1"/>
      <w:numFmt w:val="decimal"/>
      <w:lvlText w:val="%1."/>
      <w:lvlJc w:val="left"/>
      <w:pPr>
        <w:ind w:left="425" w:hanging="425"/>
      </w:pPr>
      <w:rPr>
        <w:rFonts w:hint="default"/>
      </w:rPr>
    </w:lvl>
  </w:abstractNum>
  <w:abstractNum w:abstractNumId="4">
    <w:nsid w:val="70C4D01C"/>
    <w:multiLevelType w:val="singleLevel"/>
    <w:tmpl w:val="70C4D01C"/>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12</Pages>
  <Words>1433</Words>
  <Characters>1627</Characters>
  <Application>Microsoft Office Word</Application>
  <DocSecurity>0</DocSecurity>
  <Lines>0</Lines>
  <Paragraphs>0</Paragraphs>
  <ScaleCrop>false</ScaleCrop>
  <Company/>
  <LinksUpToDate>false</LinksUpToDate>
  <CharactersWithSpaces>1729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2026-06-11T02:49:57Z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