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‌数飞科技(宁波)有限公司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运维服务容量管理制度</w:t>
      </w:r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SFKJ-ITSS-0610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汪锦坤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马盛艳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陶飞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2026.1.3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汪锦坤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_Toc12852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_Toc12852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_Toc15465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t>过程定义</w:t>
          </w:r>
          <w:r>
            <w:tab/>
          </w:r>
          <w:r>
            <w:fldChar w:fldCharType="begin"/>
          </w:r>
          <w:r>
            <w:instrText xml:space="preserve"> PAGEREF _Toc15465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_Toc2112 </w:instrText>
          </w:r>
          <w:r>
            <w:fldChar w:fldCharType="separate"/>
          </w:r>
          <w:r>
            <w:rPr>
              <w:rFonts w:hint="default"/>
            </w:rPr>
            <w:t xml:space="preserve">2.1. 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_Toc2112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_Toc29066 </w:instrText>
          </w:r>
          <w:r>
            <w:fldChar w:fldCharType="separate"/>
          </w:r>
          <w:r>
            <w:rPr>
              <w:rFonts w:hint="default"/>
            </w:rPr>
            <w:t xml:space="preserve">2.2. </w:t>
          </w:r>
          <w:r>
            <w:t>过程负责人</w:t>
          </w:r>
          <w:r>
            <w:tab/>
          </w:r>
          <w:r>
            <w:fldChar w:fldCharType="begin"/>
          </w:r>
          <w:r>
            <w:instrText xml:space="preserve"> PAGEREF _Toc29066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_Toc27308 </w:instrText>
          </w:r>
          <w:r>
            <w:fldChar w:fldCharType="separate"/>
          </w:r>
          <w:r>
            <w:rPr>
              <w:rFonts w:hint="default"/>
            </w:rPr>
            <w:t xml:space="preserve">2.3. </w:t>
          </w:r>
          <w:r>
            <w:t>主要输入</w:t>
          </w:r>
          <w:r>
            <w:tab/>
          </w:r>
          <w:r>
            <w:fldChar w:fldCharType="begin"/>
          </w:r>
          <w:r>
            <w:instrText xml:space="preserve"> PAGEREF _Toc27308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_Toc19960 </w:instrText>
          </w:r>
          <w:r>
            <w:fldChar w:fldCharType="separate"/>
          </w:r>
          <w:r>
            <w:rPr>
              <w:rFonts w:hint="default"/>
            </w:rPr>
            <w:t xml:space="preserve">2.4. </w:t>
          </w:r>
          <w:r>
            <w:t>主要输出</w:t>
          </w:r>
          <w:r>
            <w:tab/>
          </w:r>
          <w:r>
            <w:fldChar w:fldCharType="begin"/>
          </w:r>
          <w:r>
            <w:instrText xml:space="preserve"> PAGEREF _Toc19960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_Toc12016 </w:instrText>
          </w:r>
          <w:r>
            <w:fldChar w:fldCharType="separate"/>
          </w:r>
          <w:r>
            <w:rPr>
              <w:rFonts w:hint="default"/>
            </w:rPr>
            <w:t xml:space="preserve">2.5. </w:t>
          </w:r>
          <w:r>
            <w:t>角色和职责权限</w:t>
          </w:r>
          <w:r>
            <w:tab/>
          </w:r>
          <w:r>
            <w:fldChar w:fldCharType="begin"/>
          </w:r>
          <w:r>
            <w:instrText xml:space="preserve"> PAGEREF _Toc12016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_Toc18079 </w:instrText>
          </w:r>
          <w:r>
            <w:fldChar w:fldCharType="separate"/>
          </w:r>
          <w:r>
            <w:rPr>
              <w:rFonts w:hint="default"/>
            </w:rPr>
            <w:t xml:space="preserve">2.5.1. </w:t>
          </w:r>
          <w:r>
            <w:t>运维部经理（容量管理负责人）</w:t>
          </w:r>
          <w:r>
            <w:tab/>
          </w:r>
          <w:r>
            <w:fldChar w:fldCharType="begin"/>
          </w:r>
          <w:r>
            <w:instrText xml:space="preserve"> PAGEREF _Toc18079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_Toc32312 </w:instrText>
          </w:r>
          <w:r>
            <w:fldChar w:fldCharType="separate"/>
          </w:r>
          <w:r>
            <w:rPr>
              <w:rFonts w:hint="default"/>
            </w:rPr>
            <w:t xml:space="preserve">2.5.2. </w:t>
          </w:r>
          <w:r>
            <w:t>容量监控人员</w:t>
          </w:r>
          <w:r>
            <w:tab/>
          </w:r>
          <w:r>
            <w:fldChar w:fldCharType="begin"/>
          </w:r>
          <w:r>
            <w:instrText xml:space="preserve"> PAGEREF _Toc32312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_Toc4140 </w:instrText>
          </w:r>
          <w:r>
            <w:fldChar w:fldCharType="separate"/>
          </w:r>
          <w:r>
            <w:rPr>
              <w:rFonts w:hint="default"/>
            </w:rPr>
            <w:t xml:space="preserve">2.5.3. </w:t>
          </w:r>
          <w:r>
            <w:t>研发部经理</w:t>
          </w:r>
          <w:r>
            <w:tab/>
          </w:r>
          <w:r>
            <w:fldChar w:fldCharType="begin"/>
          </w:r>
          <w:r>
            <w:instrText xml:space="preserve"> PAGEREF _Toc4140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_Toc20994 </w:instrText>
          </w:r>
          <w:r>
            <w:fldChar w:fldCharType="separate"/>
          </w:r>
          <w:r>
            <w:rPr>
              <w:rFonts w:hint="default"/>
            </w:rPr>
            <w:t xml:space="preserve">2.5.4. </w:t>
          </w:r>
          <w:r>
            <w:t>质量部</w:t>
          </w:r>
          <w:r>
            <w:tab/>
          </w:r>
          <w:r>
            <w:fldChar w:fldCharType="begin"/>
          </w:r>
          <w:r>
            <w:instrText xml:space="preserve"> PAGEREF _Toc20994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_Toc32671 </w:instrText>
          </w:r>
          <w:r>
            <w:fldChar w:fldCharType="separate"/>
          </w:r>
          <w:r>
            <w:rPr>
              <w:rFonts w:hint="default"/>
            </w:rPr>
            <w:t xml:space="preserve">2.6. </w:t>
          </w:r>
          <w:r>
            <w:t>过程重要控制点</w:t>
          </w:r>
          <w:r>
            <w:tab/>
          </w:r>
          <w:r>
            <w:fldChar w:fldCharType="begin"/>
          </w:r>
          <w:r>
            <w:instrText xml:space="preserve"> PAGEREF _Toc32671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_Toc20191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t>术语</w:t>
          </w:r>
          <w:r>
            <w:tab/>
          </w:r>
          <w:r>
            <w:fldChar w:fldCharType="begin"/>
          </w:r>
          <w:r>
            <w:instrText xml:space="preserve"> PAGEREF _Toc20191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_Toc1160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t>流程</w:t>
          </w:r>
          <w:r>
            <w:tab/>
          </w:r>
          <w:r>
            <w:fldChar w:fldCharType="begin"/>
          </w:r>
          <w:r>
            <w:instrText xml:space="preserve"> PAGEREF _Toc1160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_Toc13886 </w:instrText>
          </w:r>
          <w:r>
            <w:fldChar w:fldCharType="separate"/>
          </w:r>
          <w:r>
            <w:rPr>
              <w:rFonts w:hint="default"/>
            </w:rPr>
            <w:t xml:space="preserve">5. </w:t>
          </w:r>
          <w:r>
            <w:t>过程描述</w:t>
          </w:r>
          <w:r>
            <w:tab/>
          </w:r>
          <w:r>
            <w:fldChar w:fldCharType="begin"/>
          </w:r>
          <w:r>
            <w:instrText xml:space="preserve"> PAGEREF _Toc13886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_Toc12859 </w:instrText>
          </w:r>
          <w:r>
            <w:fldChar w:fldCharType="separate"/>
          </w:r>
          <w:r>
            <w:rPr>
              <w:rFonts w:hint="default"/>
            </w:rPr>
            <w:t xml:space="preserve">5.1. </w:t>
          </w:r>
          <w:r>
            <w:t>容量计划</w:t>
          </w:r>
          <w:r>
            <w:tab/>
          </w:r>
          <w:r>
            <w:fldChar w:fldCharType="begin"/>
          </w:r>
          <w:r>
            <w:instrText xml:space="preserve"> PAGEREF _Toc12859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_Toc12120 </w:instrText>
          </w:r>
          <w:r>
            <w:fldChar w:fldCharType="separate"/>
          </w:r>
          <w:r>
            <w:rPr>
              <w:rFonts w:hint="default"/>
            </w:rPr>
            <w:t xml:space="preserve">5.2. </w:t>
          </w:r>
          <w:r>
            <w:t>容量监控</w:t>
          </w:r>
          <w:r>
            <w:tab/>
          </w:r>
          <w:r>
            <w:fldChar w:fldCharType="begin"/>
          </w:r>
          <w:r>
            <w:instrText xml:space="preserve"> PAGEREF _Toc12120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_Toc14196 </w:instrText>
          </w:r>
          <w:r>
            <w:fldChar w:fldCharType="separate"/>
          </w:r>
          <w:r>
            <w:rPr>
              <w:rFonts w:hint="default"/>
            </w:rPr>
            <w:t xml:space="preserve">5.2.1. </w:t>
          </w:r>
          <w:r>
            <w:t>关键容量指标</w:t>
          </w:r>
          <w:r>
            <w:tab/>
          </w:r>
          <w:r>
            <w:fldChar w:fldCharType="begin"/>
          </w:r>
          <w:r>
            <w:instrText xml:space="preserve"> PAGEREF _Toc14196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_Toc26811 </w:instrText>
          </w:r>
          <w:r>
            <w:fldChar w:fldCharType="separate"/>
          </w:r>
          <w:r>
            <w:rPr>
              <w:rFonts w:hint="default"/>
            </w:rPr>
            <w:t xml:space="preserve">5.2.2. </w:t>
          </w:r>
          <w:r>
            <w:t>监控方式</w:t>
          </w:r>
          <w:r>
            <w:tab/>
          </w:r>
          <w:r>
            <w:fldChar w:fldCharType="begin"/>
          </w:r>
          <w:r>
            <w:instrText xml:space="preserve"> PAGEREF _Toc26811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_Toc24640 </w:instrText>
          </w:r>
          <w:r>
            <w:fldChar w:fldCharType="separate"/>
          </w:r>
          <w:r>
            <w:rPr>
              <w:rFonts w:hint="default"/>
            </w:rPr>
            <w:t xml:space="preserve">5.3. </w:t>
          </w:r>
          <w:r>
            <w:t>容量分析</w:t>
          </w:r>
          <w:r>
            <w:tab/>
          </w:r>
          <w:r>
            <w:fldChar w:fldCharType="begin"/>
          </w:r>
          <w:r>
            <w:instrText xml:space="preserve"> PAGEREF _Toc24640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_Toc24337 </w:instrText>
          </w:r>
          <w:r>
            <w:fldChar w:fldCharType="separate"/>
          </w:r>
          <w:r>
            <w:rPr>
              <w:rFonts w:hint="default"/>
            </w:rPr>
            <w:t xml:space="preserve">5.3.1. </w:t>
          </w:r>
          <w:r>
            <w:t>分析内容</w:t>
          </w:r>
          <w:r>
            <w:tab/>
          </w:r>
          <w:r>
            <w:fldChar w:fldCharType="begin"/>
          </w:r>
          <w:r>
            <w:instrText xml:space="preserve"> PAGEREF _Toc24337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_Toc23602 </w:instrText>
          </w:r>
          <w:r>
            <w:fldChar w:fldCharType="separate"/>
          </w:r>
          <w:r>
            <w:rPr>
              <w:rFonts w:hint="default"/>
            </w:rPr>
            <w:t xml:space="preserve">5.3.2. </w:t>
          </w:r>
          <w:r>
            <w:t>分析周期</w:t>
          </w:r>
          <w:r>
            <w:tab/>
          </w:r>
          <w:r>
            <w:fldChar w:fldCharType="begin"/>
          </w:r>
          <w:r>
            <w:instrText xml:space="preserve"> PAGEREF _Toc23602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_Toc15107 </w:instrText>
          </w:r>
          <w:r>
            <w:fldChar w:fldCharType="separate"/>
          </w:r>
          <w:r>
            <w:rPr>
              <w:rFonts w:hint="default"/>
            </w:rPr>
            <w:t xml:space="preserve">5.3.3. </w:t>
          </w:r>
          <w:r>
            <w:t>异常处理</w:t>
          </w:r>
          <w:r>
            <w:tab/>
          </w:r>
          <w:r>
            <w:fldChar w:fldCharType="begin"/>
          </w:r>
          <w:r>
            <w:instrText xml:space="preserve"> PAGEREF _Toc15107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_Toc4900 </w:instrText>
          </w:r>
          <w:r>
            <w:fldChar w:fldCharType="separate"/>
          </w:r>
          <w:r>
            <w:rPr>
              <w:rFonts w:hint="default"/>
            </w:rPr>
            <w:t xml:space="preserve">5.4. </w:t>
          </w:r>
          <w:r>
            <w:t>容量调整</w:t>
          </w:r>
          <w:r>
            <w:tab/>
          </w:r>
          <w:r>
            <w:fldChar w:fldCharType="begin"/>
          </w:r>
          <w:r>
            <w:instrText xml:space="preserve"> PAGEREF _Toc4900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_Toc1910 </w:instrText>
          </w:r>
          <w:r>
            <w:fldChar w:fldCharType="separate"/>
          </w:r>
          <w:r>
            <w:rPr>
              <w:rFonts w:hint="default"/>
            </w:rPr>
            <w:t xml:space="preserve">5.4.1. </w:t>
          </w:r>
          <w:r>
            <w:t>容量调整类型</w:t>
          </w:r>
          <w:r>
            <w:tab/>
          </w:r>
          <w:r>
            <w:fldChar w:fldCharType="begin"/>
          </w:r>
          <w:r>
            <w:instrText xml:space="preserve"> PAGEREF _Toc1910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_Toc25875 </w:instrText>
          </w:r>
          <w:r>
            <w:fldChar w:fldCharType="separate"/>
          </w:r>
          <w:r>
            <w:rPr>
              <w:rFonts w:hint="default"/>
            </w:rPr>
            <w:t xml:space="preserve">5.4.2. </w:t>
          </w:r>
          <w:r>
            <w:t>容量调整流程</w:t>
          </w:r>
          <w:r>
            <w:tab/>
          </w:r>
          <w:r>
            <w:fldChar w:fldCharType="begin"/>
          </w:r>
          <w:r>
            <w:instrText xml:space="preserve"> PAGEREF _Toc25875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_Toc19058 </w:instrText>
          </w:r>
          <w:r>
            <w:fldChar w:fldCharType="separate"/>
          </w:r>
          <w:r>
            <w:rPr>
              <w:rFonts w:hint="default"/>
            </w:rPr>
            <w:t xml:space="preserve">5.4.3. </w:t>
          </w:r>
          <w:r>
            <w:t>容量投资决策</w:t>
          </w:r>
          <w:r>
            <w:tab/>
          </w:r>
          <w:r>
            <w:fldChar w:fldCharType="begin"/>
          </w:r>
          <w:r>
            <w:instrText xml:space="preserve"> PAGEREF _Toc19058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_Toc21982 </w:instrText>
          </w:r>
          <w:r>
            <w:fldChar w:fldCharType="separate"/>
          </w:r>
          <w:r>
            <w:rPr>
              <w:rFonts w:hint="default"/>
            </w:rPr>
            <w:t xml:space="preserve">5.5. </w:t>
          </w:r>
          <w:r>
            <w:t>容量报告</w:t>
          </w:r>
          <w:r>
            <w:tab/>
          </w:r>
          <w:r>
            <w:fldChar w:fldCharType="begin"/>
          </w:r>
          <w:r>
            <w:instrText xml:space="preserve"> PAGEREF _Toc21982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_Toc7791 </w:instrText>
          </w:r>
          <w:r>
            <w:fldChar w:fldCharType="separate"/>
          </w:r>
          <w:r>
            <w:rPr>
              <w:rFonts w:hint="default"/>
            </w:rPr>
            <w:t xml:space="preserve">5.5.1. </w:t>
          </w:r>
          <w:r>
            <w:t>报告内容</w:t>
          </w:r>
          <w:r>
            <w:tab/>
          </w:r>
          <w:r>
            <w:fldChar w:fldCharType="begin"/>
          </w:r>
          <w:r>
            <w:instrText xml:space="preserve"> PAGEREF _Toc7791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_Toc27627 </w:instrText>
          </w:r>
          <w:r>
            <w:fldChar w:fldCharType="separate"/>
          </w:r>
          <w:r>
            <w:rPr>
              <w:rFonts w:hint="default"/>
            </w:rPr>
            <w:t xml:space="preserve">5.5.2. </w:t>
          </w:r>
          <w:r>
            <w:t>报告周期</w:t>
          </w:r>
          <w:r>
            <w:tab/>
          </w:r>
          <w:r>
            <w:fldChar w:fldCharType="begin"/>
          </w:r>
          <w:r>
            <w:instrText xml:space="preserve"> PAGEREF _Toc27627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_Toc5855 </w:instrText>
          </w:r>
          <w:r>
            <w:fldChar w:fldCharType="separate"/>
          </w:r>
          <w:r>
            <w:rPr>
              <w:rFonts w:hint="default"/>
            </w:rPr>
            <w:t xml:space="preserve">6. </w:t>
          </w:r>
          <w:r>
            <w:t>相关文件</w:t>
          </w:r>
          <w:r>
            <w:tab/>
          </w:r>
          <w:r>
            <w:fldChar w:fldCharType="begin"/>
          </w:r>
          <w:r>
            <w:instrText xml:space="preserve"> PAGEREF _Toc5855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 KPI指标</w:t>
          </w:r>
          <w:r>
            <w:tab/>
          </w:r>
          <w:r>
            <w:fldChar w:fldCharType="begin"/>
          </w:r>
          <w:r>
            <w:instrText xml:space="preserve"> PAGEREF _Toc251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_Toc21034 </w:instrText>
          </w:r>
          <w:r>
            <w:fldChar w:fldCharType="separate"/>
          </w:r>
          <w:r>
            <w:rPr>
              <w:rFonts w:hint="default"/>
            </w:rPr>
            <w:t xml:space="preserve">8. </w:t>
          </w:r>
          <w:r>
            <w:t>输出的文件及记录</w:t>
          </w:r>
          <w:r>
            <w:tab/>
          </w:r>
          <w:r>
            <w:fldChar w:fldCharType="begin"/>
          </w:r>
          <w:r>
            <w:instrText xml:space="preserve"> PAGEREF _Toc21034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eastAsia="宋体" w:hint="eastAsia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>TOC \h \c "表"</w:instrText>
      </w:r>
      <w:r>
        <w:fldChar w:fldCharType="separate"/>
      </w:r>
      <w:r>
        <w:fldChar w:fldCharType="begin"/>
      </w:r>
      <w:r>
        <w:instrText xml:space="preserve"> HYPERLINK \l _Toc8308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容量管理范围表</w:t>
      </w:r>
      <w:r>
        <w:tab/>
      </w:r>
      <w:r>
        <w:fldChar w:fldCharType="begin"/>
      </w:r>
      <w:r>
        <w:instrText xml:space="preserve"> PAGEREF _Toc8308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_Toc16061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default"/>
          <w:lang w:val="en-US" w:eastAsia="zh-CN"/>
        </w:rPr>
        <w:t xml:space="preserve"> </w:t>
      </w:r>
      <w:r>
        <w:t>容量输入清单</w:t>
      </w:r>
      <w:r>
        <w:tab/>
      </w:r>
      <w:r>
        <w:fldChar w:fldCharType="begin"/>
      </w:r>
      <w:r>
        <w:instrText xml:space="preserve"> PAGEREF _Toc16061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_Toc4630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3 </w:t>
      </w:r>
      <w:r>
        <w:rPr>
          <w:rFonts w:hint="eastAsia"/>
          <w:lang w:val="en-US" w:eastAsia="zh-CN"/>
        </w:rPr>
        <w:t xml:space="preserve"> </w:t>
      </w:r>
      <w:r>
        <w:t>容量输出清单</w:t>
      </w:r>
      <w:r>
        <w:tab/>
      </w:r>
      <w:r>
        <w:fldChar w:fldCharType="begin"/>
      </w:r>
      <w:r>
        <w:instrText xml:space="preserve"> PAGEREF _Toc4630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_Toc5058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4 </w:t>
      </w:r>
      <w:r>
        <w:rPr>
          <w:rFonts w:hint="eastAsia"/>
          <w:lang w:val="en-US" w:eastAsia="zh-CN"/>
        </w:rPr>
        <w:t xml:space="preserve"> 容量监控岗位表</w:t>
      </w:r>
      <w:r>
        <w:tab/>
      </w:r>
      <w:r>
        <w:fldChar w:fldCharType="begin"/>
      </w:r>
      <w:r>
        <w:instrText xml:space="preserve"> PAGEREF _Toc5058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_Toc24894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容量监控指标表</w:t>
      </w:r>
      <w:r>
        <w:tab/>
      </w:r>
      <w:r>
        <w:fldChar w:fldCharType="begin"/>
      </w:r>
      <w:r>
        <w:instrText xml:space="preserve"> PAGEREF _Toc24894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_Toc20293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分析周期表</w:t>
      </w:r>
      <w:r>
        <w:tab/>
      </w:r>
      <w:r>
        <w:fldChar w:fldCharType="begin"/>
      </w:r>
      <w:r>
        <w:instrText xml:space="preserve"> PAGEREF _Toc20293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_Toc7601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3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容量调整类型表</w:t>
      </w:r>
      <w:r>
        <w:tab/>
      </w:r>
      <w:r>
        <w:fldChar w:fldCharType="begin"/>
      </w:r>
      <w:r>
        <w:instrText xml:space="preserve"> PAGEREF _Toc7601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_Toc7105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4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报告周期表</w:t>
      </w:r>
      <w:r>
        <w:tab/>
      </w:r>
      <w:r>
        <w:fldChar w:fldCharType="begin"/>
      </w:r>
      <w:r>
        <w:instrText xml:space="preserve"> PAGEREF _Toc7105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_Toc18262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KPI指标表</w:t>
      </w:r>
      <w:r>
        <w:tab/>
      </w:r>
      <w:r>
        <w:fldChar w:fldCharType="begin"/>
      </w:r>
      <w:r>
        <w:instrText xml:space="preserve"> PAGEREF _Toc18262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_Toc1810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8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输出文件和记录表</w:t>
      </w:r>
      <w:r>
        <w:tab/>
      </w:r>
      <w:r>
        <w:fldChar w:fldCharType="begin"/>
      </w:r>
      <w:r>
        <w:instrText xml:space="preserve"> PAGEREF _Toc1810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eastAsia="宋体" w:hint="eastAsia"/>
          <w:lang w:val="en-US" w:eastAsia="zh-CN"/>
        </w:rPr>
      </w:pPr>
      <w:r>
        <w:rPr>
          <w:rFonts w:hint="eastAsia"/>
          <w:lang w:val="en-US" w:eastAsia="zh-CN"/>
        </w:rPr>
        <w:t>图目录</w:t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>TOC \h \c "图"</w:instrText>
      </w:r>
      <w:r>
        <w:fldChar w:fldCharType="separate"/>
      </w:r>
      <w:r>
        <w:fldChar w:fldCharType="begin"/>
      </w:r>
      <w:r>
        <w:instrText xml:space="preserve"> HYPERLINK \l _Toc24198 </w:instrText>
      </w:r>
      <w:r>
        <w:fldChar w:fldCharType="separate"/>
      </w: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容量管理流程图</w:t>
      </w:r>
      <w:r>
        <w:tab/>
      </w:r>
      <w:r>
        <w:fldChar w:fldCharType="begin"/>
      </w:r>
      <w:r>
        <w:instrText xml:space="preserve"> PAGEREF _Toc24198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1"/>
        <w:bidi w:val="0"/>
      </w:pPr>
      <w:bookmarkStart w:id="1" w:name="heading_2"/>
      <w:bookmarkStart w:id="2" w:name="_Toc12852"/>
      <w:bookmarkStart w:id="3" w:name="_Toc24159"/>
      <w:r>
        <w:t>目的</w:t>
      </w:r>
      <w:bookmarkEnd w:id="1"/>
      <w:bookmarkEnd w:id="2"/>
    </w:p>
    <w:p>
      <w:pPr>
        <w:pStyle w:val="a1"/>
        <w:bidi w:val="0"/>
      </w:pPr>
      <w:r>
        <w:t>本制度旨在对‌数飞科技(宁波)有限公司（以下简称“公司”）运维服务中的IT基础设施和服务能力进行有效管理，确保：</w:t>
      </w:r>
    </w:p>
    <w:p>
      <w:pPr>
        <w:pStyle w:val="a3"/>
        <w:numPr>
          <w:ilvl w:val="0"/>
          <w:numId w:val="2"/>
        </w:numPr>
        <w:bidi w:val="0"/>
        <w:ind w:left="425" w:hanging="425" w:leftChars="0" w:firstLineChars="0"/>
      </w:pPr>
      <w:r>
        <w:t>当前和未来的IT服务能力能够满足业务需求；</w:t>
      </w:r>
    </w:p>
    <w:p>
      <w:pPr>
        <w:pStyle w:val="a3"/>
        <w:numPr>
          <w:ilvl w:val="0"/>
          <w:numId w:val="2"/>
        </w:numPr>
        <w:bidi w:val="0"/>
        <w:ind w:left="425" w:hanging="425" w:leftChars="0" w:firstLineChars="0"/>
      </w:pPr>
      <w:r>
        <w:t>以合理的成本实现服务级别目标；</w:t>
      </w:r>
    </w:p>
    <w:p>
      <w:pPr>
        <w:pStyle w:val="a3"/>
        <w:numPr>
          <w:ilvl w:val="0"/>
          <w:numId w:val="2"/>
        </w:numPr>
        <w:bidi w:val="0"/>
        <w:ind w:left="425" w:hanging="425" w:leftChars="0" w:firstLineChars="0"/>
      </w:pPr>
      <w:r>
        <w:t>及时发现和预防容量瓶颈，避免服务中断或性能下降；</w:t>
      </w:r>
    </w:p>
    <w:p>
      <w:pPr>
        <w:pStyle w:val="a3"/>
        <w:numPr>
          <w:ilvl w:val="0"/>
          <w:numId w:val="2"/>
        </w:numPr>
        <w:bidi w:val="0"/>
        <w:ind w:left="425" w:hanging="425" w:leftChars="0" w:firstLineChars="0"/>
      </w:pPr>
      <w:r>
        <w:t>为容量规划提供数据支持和决策依据。</w:t>
      </w:r>
    </w:p>
    <w:p>
      <w:pPr>
        <w:pStyle w:val="1"/>
        <w:bidi w:val="0"/>
      </w:pPr>
      <w:bookmarkStart w:id="4" w:name="_Toc15465"/>
      <w:bookmarkStart w:id="5" w:name="heading_3"/>
      <w:r>
        <w:t>过程定义</w:t>
      </w:r>
      <w:bookmarkEnd w:id="4"/>
      <w:bookmarkEnd w:id="5"/>
    </w:p>
    <w:p>
      <w:pPr>
        <w:pStyle w:val="a1"/>
        <w:bidi w:val="0"/>
      </w:pPr>
      <w:r>
        <w:t>容量管理是通过监控、分析、规划和调整，确保IT基础设施和服务能力与业务需求相匹配的过程。容量管理包括对服务器、存储、网络、数据库、应用系统等关键资源的容量监控和规划。</w:t>
      </w:r>
    </w:p>
    <w:p>
      <w:pPr>
        <w:pStyle w:val="2"/>
        <w:bidi w:val="0"/>
      </w:pPr>
      <w:bookmarkStart w:id="6" w:name="heading_4"/>
      <w:bookmarkStart w:id="7" w:name="_Toc2112"/>
      <w:r>
        <w:t>范围</w:t>
      </w:r>
      <w:bookmarkEnd w:id="6"/>
      <w:bookmarkEnd w:id="7"/>
    </w:p>
    <w:p>
      <w:pPr>
        <w:pStyle w:val="a1"/>
        <w:bidi w:val="0"/>
        <w:rPr>
          <w:rFonts w:hint="eastAsia"/>
          <w:lang w:val="en-US" w:eastAsia="zh-CN"/>
        </w:rPr>
      </w:pPr>
      <w:r>
        <w:t>容量管理范围包括公司运维服务所涉及的所有IT基础设施和服务组件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如表2-1所示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8" w:name="_Toc8308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容量管理范围表</w:t>
      </w:r>
      <w:bookmarkEnd w:id="8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367"/>
        <w:gridCol w:w="2963"/>
        <w:gridCol w:w="4192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367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类别</w:t>
            </w:r>
          </w:p>
        </w:tc>
        <w:tc>
          <w:tcPr>
            <w:tcW w:w="296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管理对象</w:t>
            </w:r>
          </w:p>
        </w:tc>
        <w:tc>
          <w:tcPr>
            <w:tcW w:w="419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示例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6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计算资源</w:t>
            </w:r>
          </w:p>
        </w:tc>
        <w:tc>
          <w:tcPr>
            <w:tcW w:w="29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服务器、虚拟机</w:t>
            </w:r>
          </w:p>
        </w:tc>
        <w:tc>
          <w:tcPr>
            <w:tcW w:w="419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CPU使用率、内存使用率、负载均衡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6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存储资源</w:t>
            </w:r>
          </w:p>
        </w:tc>
        <w:tc>
          <w:tcPr>
            <w:tcW w:w="29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磁盘阵列、存储设备</w:t>
            </w:r>
          </w:p>
        </w:tc>
        <w:tc>
          <w:tcPr>
            <w:tcW w:w="419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磁盘使用率、I/O性能、存储容量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6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网络资源</w:t>
            </w:r>
          </w:p>
        </w:tc>
        <w:tc>
          <w:tcPr>
            <w:tcW w:w="29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交换机、路由器、防火墙</w:t>
            </w:r>
          </w:p>
        </w:tc>
        <w:tc>
          <w:tcPr>
            <w:tcW w:w="419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带宽利用率、连接数、网络延迟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6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数据库资源</w:t>
            </w:r>
          </w:p>
        </w:tc>
        <w:tc>
          <w:tcPr>
            <w:tcW w:w="29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数据库服务器</w:t>
            </w:r>
          </w:p>
        </w:tc>
        <w:tc>
          <w:tcPr>
            <w:tcW w:w="419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连接数、QPS、慢查询、表空间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6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应用系统</w:t>
            </w:r>
          </w:p>
        </w:tc>
        <w:tc>
          <w:tcPr>
            <w:tcW w:w="29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大OA系统</w:t>
            </w:r>
            <w:r>
              <w:rPr>
                <w:rFonts w:ascii="Arial" w:eastAsia="宋体"/>
                <w:sz w:val="24"/>
              </w:rPr>
              <w:t>、</w:t>
            </w:r>
            <w:r>
              <w:rPr>
                <w:rFonts w:hint="eastAsia"/>
                <w:sz w:val="24"/>
                <w:lang w:val="en-US" w:eastAsia="zh-CN"/>
              </w:rPr>
              <w:t>监控运维</w:t>
            </w:r>
            <w:bookmarkStart w:id="9" w:name="_GoBack"/>
            <w:bookmarkEnd w:id="9"/>
            <w:r>
              <w:rPr>
                <w:rFonts w:ascii="Arial" w:eastAsia="宋体"/>
                <w:sz w:val="24"/>
              </w:rPr>
              <w:t>系统等</w:t>
            </w:r>
          </w:p>
        </w:tc>
        <w:tc>
          <w:tcPr>
            <w:tcW w:w="419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并发用户数、响应时间、事务处理量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前端设备</w:t>
            </w:r>
          </w:p>
        </w:tc>
        <w:tc>
          <w:tcPr>
            <w:tcW w:w="296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收银机、扫码枪、打印机</w:t>
            </w:r>
          </w:p>
        </w:tc>
        <w:tc>
          <w:tcPr>
            <w:tcW w:w="419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设备在线率、响应时间</w:t>
            </w:r>
          </w:p>
        </w:tc>
      </w:tr>
    </w:tbl>
    <w:p>
      <w:pPr>
        <w:pStyle w:val="a1"/>
        <w:bidi w:val="0"/>
      </w:pPr>
      <w:r>
        <w:t>本制度适用于公司运维部、研发部及其他参与运维服务的相关部门。</w:t>
      </w:r>
    </w:p>
    <w:p>
      <w:pPr>
        <w:pStyle w:val="2"/>
        <w:bidi w:val="0"/>
      </w:pPr>
      <w:bookmarkStart w:id="10" w:name="heading_5"/>
      <w:bookmarkStart w:id="11" w:name="_Toc29066"/>
      <w:r>
        <w:t>过程负责人</w:t>
      </w:r>
      <w:bookmarkEnd w:id="10"/>
      <w:bookmarkEnd w:id="11"/>
    </w:p>
    <w:p>
      <w:pPr>
        <w:pStyle w:val="a1"/>
        <w:bidi w:val="0"/>
      </w:pPr>
      <w:r>
        <w:t>容量管理负责人：运维部经理</w:t>
      </w:r>
    </w:p>
    <w:p>
      <w:pPr>
        <w:pStyle w:val="2"/>
        <w:bidi w:val="0"/>
      </w:pPr>
      <w:bookmarkStart w:id="12" w:name="_Toc27308"/>
      <w:bookmarkStart w:id="13" w:name="heading_6"/>
      <w:r>
        <w:t>主要输入</w:t>
      </w:r>
      <w:bookmarkEnd w:id="12"/>
      <w:bookmarkEnd w:id="13"/>
    </w:p>
    <w:p>
      <w:pPr>
        <w:pStyle w:val="a1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14" w:name="_Toc16061"/>
      <w:r>
        <w:rPr>
          <w:rFonts w:hint="default"/>
          <w:lang w:val="en-US" w:eastAsia="zh-CN"/>
        </w:rPr>
        <w:t xml:space="preserve"> </w:t>
      </w:r>
      <w:r>
        <w:t>容量输入清单</w:t>
      </w:r>
      <w:bookmarkEnd w:id="14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4417"/>
        <w:gridCol w:w="4105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4417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1"/>
              <w:bidi w:val="0"/>
              <w:snapToGrid w:val="0"/>
            </w:pPr>
            <w:r>
              <w:t>输入</w:t>
            </w:r>
          </w:p>
        </w:tc>
        <w:tc>
          <w:tcPr>
            <w:tcW w:w="41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1"/>
              <w:bidi w:val="0"/>
              <w:snapToGrid w:val="0"/>
            </w:pPr>
            <w:r>
              <w:t>来源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441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1"/>
              <w:bidi w:val="0"/>
              <w:snapToGrid w:val="0"/>
            </w:pPr>
            <w:r>
              <w:t>服务级别协议（SLA）</w:t>
            </w:r>
          </w:p>
        </w:tc>
        <w:tc>
          <w:tcPr>
            <w:tcW w:w="41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1"/>
              <w:bidi w:val="0"/>
              <w:snapToGrid w:val="0"/>
            </w:pPr>
            <w:r>
              <w:t>客户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441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1"/>
              <w:bidi w:val="0"/>
              <w:snapToGrid w:val="0"/>
            </w:pPr>
            <w:r>
              <w:t>业务发展规划</w:t>
            </w:r>
          </w:p>
        </w:tc>
        <w:tc>
          <w:tcPr>
            <w:tcW w:w="41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1"/>
              <w:bidi w:val="0"/>
              <w:snapToGrid w:val="0"/>
            </w:pPr>
            <w:r>
              <w:t>客户、管理层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441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1"/>
              <w:bidi w:val="0"/>
              <w:snapToGrid w:val="0"/>
            </w:pPr>
            <w:r>
              <w:t>服务合同</w:t>
            </w:r>
          </w:p>
        </w:tc>
        <w:tc>
          <w:tcPr>
            <w:tcW w:w="41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1"/>
              <w:bidi w:val="0"/>
              <w:snapToGrid w:val="0"/>
            </w:pPr>
            <w:r>
              <w:t>客户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441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1"/>
              <w:bidi w:val="0"/>
              <w:snapToGrid w:val="0"/>
            </w:pPr>
            <w:r>
              <w:t>监控数据</w:t>
            </w:r>
          </w:p>
        </w:tc>
        <w:tc>
          <w:tcPr>
            <w:tcW w:w="41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1"/>
              <w:bidi w:val="0"/>
              <w:snapToGrid w:val="0"/>
            </w:pPr>
            <w:r>
              <w:t>监控系统、巡检记录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441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1"/>
              <w:bidi w:val="0"/>
              <w:snapToGrid w:val="0"/>
            </w:pPr>
            <w:r>
              <w:t>性能告警</w:t>
            </w:r>
          </w:p>
        </w:tc>
        <w:tc>
          <w:tcPr>
            <w:tcW w:w="41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1"/>
              <w:bidi w:val="0"/>
              <w:snapToGrid w:val="0"/>
            </w:pPr>
            <w:r>
              <w:t>监控系统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441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1"/>
              <w:bidi w:val="0"/>
              <w:snapToGrid w:val="0"/>
            </w:pPr>
            <w:r>
              <w:t>事件和问题记录</w:t>
            </w:r>
          </w:p>
        </w:tc>
        <w:tc>
          <w:tcPr>
            <w:tcW w:w="41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1"/>
              <w:bidi w:val="0"/>
              <w:snapToGrid w:val="0"/>
            </w:pPr>
            <w:r>
              <w:t>事件管理、问题管理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441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1"/>
              <w:bidi w:val="0"/>
              <w:snapToGrid w:val="0"/>
            </w:pPr>
            <w:r>
              <w:t>变更计划</w:t>
            </w:r>
          </w:p>
        </w:tc>
        <w:tc>
          <w:tcPr>
            <w:tcW w:w="41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1"/>
              <w:bidi w:val="0"/>
              <w:snapToGrid w:val="0"/>
            </w:pPr>
            <w:r>
              <w:t>变更管理</w:t>
            </w:r>
          </w:p>
        </w:tc>
      </w:tr>
    </w:tbl>
    <w:p>
      <w:pPr>
        <w:pStyle w:val="2"/>
        <w:bidi w:val="0"/>
      </w:pPr>
      <w:bookmarkStart w:id="15" w:name="heading_7"/>
      <w:bookmarkStart w:id="16" w:name="_Toc19960"/>
      <w:r>
        <w:t>主要输出</w:t>
      </w:r>
      <w:bookmarkEnd w:id="15"/>
      <w:bookmarkEnd w:id="16"/>
    </w:p>
    <w:p>
      <w:pPr>
        <w:pStyle w:val="a3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bookmarkStart w:id="17" w:name="_Toc4630"/>
      <w:r>
        <w:rPr>
          <w:rFonts w:hint="eastAsia"/>
          <w:lang w:val="en-US" w:eastAsia="zh-CN"/>
        </w:rPr>
        <w:t xml:space="preserve"> </w:t>
      </w:r>
      <w:r>
        <w:t>容量输出清单</w:t>
      </w:r>
      <w:bookmarkEnd w:id="17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2982"/>
        <w:gridCol w:w="5540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982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输出</w:t>
            </w:r>
          </w:p>
        </w:tc>
        <w:tc>
          <w:tcPr>
            <w:tcW w:w="5540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去向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98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容量管理计划</w:t>
            </w:r>
          </w:p>
        </w:tc>
        <w:tc>
          <w:tcPr>
            <w:tcW w:w="554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运维部经理、研发部经理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98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容量监控报告</w:t>
            </w:r>
          </w:p>
        </w:tc>
        <w:tc>
          <w:tcPr>
            <w:tcW w:w="554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运维部经理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98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容量分析报告</w:t>
            </w:r>
          </w:p>
        </w:tc>
        <w:tc>
          <w:tcPr>
            <w:tcW w:w="554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运维部经理、质量部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98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容量调整建议</w:t>
            </w:r>
          </w:p>
        </w:tc>
        <w:tc>
          <w:tcPr>
            <w:tcW w:w="554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变更管理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98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容量规划报告</w:t>
            </w:r>
          </w:p>
        </w:tc>
        <w:tc>
          <w:tcPr>
            <w:tcW w:w="554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管理层、客户</w:t>
            </w:r>
          </w:p>
        </w:tc>
      </w:tr>
    </w:tbl>
    <w:p>
      <w:pPr>
        <w:pStyle w:val="2"/>
        <w:bidi w:val="0"/>
      </w:pPr>
      <w:bookmarkStart w:id="18" w:name="_Toc12016"/>
      <w:bookmarkStart w:id="19" w:name="heading_8"/>
      <w:r>
        <w:t>角色和职责权限</w:t>
      </w:r>
      <w:bookmarkEnd w:id="18"/>
      <w:bookmarkEnd w:id="19"/>
    </w:p>
    <w:p>
      <w:pPr>
        <w:pStyle w:val="3"/>
        <w:bidi w:val="0"/>
      </w:pPr>
      <w:bookmarkStart w:id="20" w:name="_Toc18079"/>
      <w:bookmarkStart w:id="21" w:name="heading_9"/>
      <w:r>
        <w:t>运维部经理（容量管理负责人）</w:t>
      </w:r>
      <w:bookmarkEnd w:id="20"/>
      <w:bookmarkEnd w:id="21"/>
    </w:p>
    <w:p>
      <w:pPr>
        <w:pStyle w:val="a3"/>
        <w:numPr>
          <w:ilvl w:val="0"/>
          <w:numId w:val="3"/>
        </w:numPr>
        <w:bidi w:val="0"/>
        <w:ind w:left="425" w:hanging="425" w:leftChars="0" w:firstLineChars="0"/>
      </w:pPr>
      <w:r>
        <w:t>确定容量管理过程的衡量指标；</w:t>
      </w:r>
    </w:p>
    <w:p>
      <w:pPr>
        <w:pStyle w:val="a3"/>
        <w:numPr>
          <w:ilvl w:val="0"/>
          <w:numId w:val="3"/>
        </w:numPr>
        <w:bidi w:val="0"/>
        <w:ind w:left="425" w:hanging="425" w:leftChars="0" w:firstLineChars="0"/>
      </w:pPr>
      <w:r>
        <w:t>总体上管理和监控过程，建立容量管理过程实施、评估和持续优化机制；</w:t>
      </w:r>
    </w:p>
    <w:p>
      <w:pPr>
        <w:pStyle w:val="a3"/>
        <w:numPr>
          <w:ilvl w:val="0"/>
          <w:numId w:val="3"/>
        </w:numPr>
        <w:bidi w:val="0"/>
        <w:ind w:left="425" w:hanging="425" w:leftChars="0" w:firstLineChars="0"/>
      </w:pPr>
      <w:r>
        <w:t>负责本制度的制订、修正与管理；</w:t>
      </w:r>
    </w:p>
    <w:p>
      <w:pPr>
        <w:pStyle w:val="a3"/>
        <w:numPr>
          <w:ilvl w:val="0"/>
          <w:numId w:val="3"/>
        </w:numPr>
        <w:bidi w:val="0"/>
        <w:ind w:left="425" w:hanging="425" w:leftChars="0" w:firstLineChars="0"/>
      </w:pPr>
      <w:r>
        <w:t>定义并维护容量管理流程文件及所需要的记录模板；</w:t>
      </w:r>
    </w:p>
    <w:p>
      <w:pPr>
        <w:pStyle w:val="a3"/>
        <w:numPr>
          <w:ilvl w:val="0"/>
          <w:numId w:val="3"/>
        </w:numPr>
        <w:bidi w:val="0"/>
        <w:ind w:left="425" w:hanging="425" w:leftChars="0" w:firstLineChars="0"/>
      </w:pPr>
      <w:r>
        <w:t>管理容量管理流程的实施；</w:t>
      </w:r>
    </w:p>
    <w:p>
      <w:pPr>
        <w:pStyle w:val="a3"/>
        <w:numPr>
          <w:ilvl w:val="0"/>
          <w:numId w:val="3"/>
        </w:numPr>
        <w:bidi w:val="0"/>
        <w:ind w:left="425" w:hanging="425" w:leftChars="0" w:firstLineChars="0"/>
      </w:pPr>
      <w:r>
        <w:t>确保容量管理流程目标的实现；</w:t>
      </w:r>
    </w:p>
    <w:p>
      <w:pPr>
        <w:pStyle w:val="a3"/>
        <w:numPr>
          <w:ilvl w:val="0"/>
          <w:numId w:val="3"/>
        </w:numPr>
        <w:bidi w:val="0"/>
        <w:ind w:left="425" w:hanging="425" w:leftChars="0" w:firstLineChars="0"/>
      </w:pPr>
      <w:r>
        <w:t>识别容量管理过程中存在的问题并提出改进措施；</w:t>
      </w:r>
    </w:p>
    <w:p>
      <w:pPr>
        <w:pStyle w:val="a3"/>
        <w:numPr>
          <w:ilvl w:val="0"/>
          <w:numId w:val="3"/>
        </w:numPr>
        <w:bidi w:val="0"/>
        <w:ind w:left="425" w:hanging="425" w:leftChars="0" w:firstLineChars="0"/>
      </w:pPr>
      <w:r>
        <w:t>审批容量调整建议；</w:t>
      </w:r>
    </w:p>
    <w:p>
      <w:pPr>
        <w:pStyle w:val="a3"/>
        <w:numPr>
          <w:ilvl w:val="0"/>
          <w:numId w:val="3"/>
        </w:numPr>
        <w:bidi w:val="0"/>
        <w:ind w:left="425" w:hanging="425" w:leftChars="0" w:firstLineChars="0"/>
      </w:pPr>
      <w:r>
        <w:t>定期向管理层汇报容量状况和规划建议。</w:t>
      </w:r>
    </w:p>
    <w:p>
      <w:pPr>
        <w:pStyle w:val="3"/>
        <w:bidi w:val="0"/>
      </w:pPr>
      <w:bookmarkStart w:id="22" w:name="_Toc32312"/>
      <w:bookmarkStart w:id="23" w:name="heading_10"/>
      <w:r>
        <w:t>容量监控人员</w:t>
      </w:r>
      <w:bookmarkEnd w:id="22"/>
      <w:bookmarkEnd w:id="23"/>
    </w:p>
    <w:p>
      <w:pPr>
        <w:pStyle w:val="a1"/>
        <w:bidi w:val="0"/>
        <w:rPr>
          <w:rFonts w:hint="eastAsia"/>
          <w:lang w:val="en-US" w:eastAsia="zh-CN"/>
        </w:rPr>
      </w:pPr>
      <w:r>
        <w:t>容量监控工作由以下岗位承担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如表2-4所示</w:t>
      </w:r>
    </w:p>
    <w:p>
      <w:pPr>
        <w:pStyle w:val="a3"/>
        <w:bidi w:val="0"/>
        <w:jc w:val="center"/>
        <w:rPr>
          <w:rFonts w:hint="default"/>
          <w:lang w:val="en-US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bookmarkStart w:id="24" w:name="_Toc5058"/>
      <w:r>
        <w:rPr>
          <w:rFonts w:hint="eastAsia"/>
          <w:lang w:val="en-US" w:eastAsia="zh-CN"/>
        </w:rPr>
        <w:t xml:space="preserve"> 容量监控岗位表</w:t>
      </w:r>
      <w:bookmarkEnd w:id="24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2131"/>
        <w:gridCol w:w="1333"/>
        <w:gridCol w:w="5058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13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岗位名称</w:t>
            </w:r>
          </w:p>
        </w:tc>
        <w:tc>
          <w:tcPr>
            <w:tcW w:w="133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所属部门</w:t>
            </w:r>
          </w:p>
        </w:tc>
        <w:tc>
          <w:tcPr>
            <w:tcW w:w="5057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职责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13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硬件运维工程师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运维部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负责服务器、存储、网络设备的容量监控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13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软件运维工程师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运维部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负责数据库、应用系统的容量监控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13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技术支持工程师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研发部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负责复杂系统的容量分析和预警</w:t>
            </w:r>
          </w:p>
        </w:tc>
      </w:tr>
    </w:tbl>
    <w:p>
      <w:pPr>
        <w:pStyle w:val="a1"/>
        <w:bidi w:val="0"/>
      </w:pPr>
      <w:r>
        <w:t>容量监控人员职责：</w:t>
      </w:r>
    </w:p>
    <w:p>
      <w:pPr>
        <w:pStyle w:val="a3"/>
        <w:numPr>
          <w:ilvl w:val="0"/>
          <w:numId w:val="4"/>
        </w:numPr>
        <w:bidi w:val="0"/>
        <w:ind w:left="425" w:hanging="425" w:leftChars="0" w:firstLineChars="0"/>
      </w:pPr>
      <w:r>
        <w:t>按照容量管理计划执行日常容量监控；</w:t>
      </w:r>
    </w:p>
    <w:p>
      <w:pPr>
        <w:pStyle w:val="a3"/>
        <w:numPr>
          <w:ilvl w:val="0"/>
          <w:numId w:val="4"/>
        </w:numPr>
        <w:bidi w:val="0"/>
        <w:ind w:left="425" w:hanging="425" w:leftChars="0" w:firstLineChars="0"/>
      </w:pPr>
      <w:r>
        <w:t>记录容量监控数据，识别容量趋势；</w:t>
      </w:r>
    </w:p>
    <w:p>
      <w:pPr>
        <w:pStyle w:val="a3"/>
        <w:numPr>
          <w:ilvl w:val="0"/>
          <w:numId w:val="4"/>
        </w:numPr>
        <w:bidi w:val="0"/>
        <w:ind w:left="425" w:hanging="425" w:leftChars="0" w:firstLineChars="0"/>
      </w:pPr>
      <w:r>
        <w:t>发现容量异常时及时上报；</w:t>
      </w:r>
    </w:p>
    <w:p>
      <w:pPr>
        <w:pStyle w:val="a3"/>
        <w:numPr>
          <w:ilvl w:val="0"/>
          <w:numId w:val="4"/>
        </w:numPr>
        <w:bidi w:val="0"/>
        <w:ind w:left="425" w:hanging="425" w:leftChars="0" w:firstLineChars="0"/>
      </w:pPr>
      <w:r>
        <w:t>参与容量分析，提供技术数据支持；</w:t>
      </w:r>
    </w:p>
    <w:p>
      <w:pPr>
        <w:pStyle w:val="a3"/>
        <w:numPr>
          <w:ilvl w:val="0"/>
          <w:numId w:val="4"/>
        </w:numPr>
        <w:bidi w:val="0"/>
        <w:ind w:left="425" w:hanging="425" w:leftChars="0" w:firstLineChars="0"/>
      </w:pPr>
      <w:r>
        <w:t>执行批准的容量调整操作。</w:t>
      </w:r>
    </w:p>
    <w:p>
      <w:pPr>
        <w:pStyle w:val="3"/>
        <w:bidi w:val="0"/>
      </w:pPr>
      <w:bookmarkStart w:id="25" w:name="heading_11"/>
      <w:bookmarkStart w:id="26" w:name="_Toc4140"/>
      <w:r>
        <w:t>研发部经理</w:t>
      </w:r>
      <w:bookmarkEnd w:id="25"/>
      <w:bookmarkEnd w:id="26"/>
    </w:p>
    <w:p>
      <w:pPr>
        <w:pStyle w:val="a3"/>
        <w:numPr>
          <w:ilvl w:val="0"/>
          <w:numId w:val="5"/>
        </w:numPr>
        <w:bidi w:val="0"/>
        <w:ind w:left="425" w:hanging="425" w:leftChars="0" w:firstLineChars="0"/>
      </w:pPr>
      <w:r>
        <w:t>参与容量规划，提供技术路线建议；</w:t>
      </w:r>
    </w:p>
    <w:p>
      <w:pPr>
        <w:pStyle w:val="a3"/>
        <w:numPr>
          <w:ilvl w:val="0"/>
          <w:numId w:val="5"/>
        </w:numPr>
        <w:bidi w:val="0"/>
        <w:ind w:left="425" w:hanging="425" w:leftChars="0" w:firstLineChars="0"/>
      </w:pPr>
      <w:r>
        <w:t>协助分析复杂系统的容量问题；</w:t>
      </w:r>
    </w:p>
    <w:p>
      <w:pPr>
        <w:pStyle w:val="a3"/>
        <w:numPr>
          <w:ilvl w:val="0"/>
          <w:numId w:val="5"/>
        </w:numPr>
        <w:bidi w:val="0"/>
        <w:ind w:left="425" w:hanging="425" w:leftChars="0" w:firstLineChars="0"/>
      </w:pPr>
      <w:r>
        <w:t>参与容量调整方案的技术评审；</w:t>
      </w:r>
    </w:p>
    <w:p>
      <w:pPr>
        <w:pStyle w:val="a3"/>
        <w:numPr>
          <w:ilvl w:val="0"/>
          <w:numId w:val="5"/>
        </w:numPr>
        <w:bidi w:val="0"/>
        <w:ind w:left="425" w:hanging="425" w:leftChars="0" w:firstLineChars="0"/>
      </w:pPr>
      <w:r>
        <w:t>对容量管理工具的选择和优化提供技术支持。</w:t>
      </w:r>
    </w:p>
    <w:p>
      <w:pPr>
        <w:pStyle w:val="3"/>
        <w:bidi w:val="0"/>
      </w:pPr>
      <w:bookmarkStart w:id="27" w:name="_Toc20994"/>
      <w:bookmarkStart w:id="28" w:name="heading_12"/>
      <w:r>
        <w:t>质量部</w:t>
      </w:r>
      <w:bookmarkEnd w:id="27"/>
      <w:bookmarkEnd w:id="28"/>
    </w:p>
    <w:p>
      <w:pPr>
        <w:pStyle w:val="a3"/>
        <w:numPr>
          <w:ilvl w:val="0"/>
          <w:numId w:val="6"/>
        </w:numPr>
        <w:bidi w:val="0"/>
        <w:ind w:left="425" w:hanging="425" w:leftChars="0" w:firstLineChars="0"/>
      </w:pPr>
      <w:r>
        <w:t>确保容量管理过程有效、正确地执行；</w:t>
      </w:r>
    </w:p>
    <w:p>
      <w:pPr>
        <w:pStyle w:val="a3"/>
        <w:numPr>
          <w:ilvl w:val="0"/>
          <w:numId w:val="6"/>
        </w:numPr>
        <w:bidi w:val="0"/>
        <w:ind w:left="425" w:hanging="425" w:leftChars="0" w:firstLineChars="0"/>
      </w:pPr>
      <w:r>
        <w:t>对容量管理过程的KPI进行审计；</w:t>
      </w:r>
    </w:p>
    <w:p>
      <w:pPr>
        <w:pStyle w:val="a3"/>
        <w:numPr>
          <w:ilvl w:val="0"/>
          <w:numId w:val="6"/>
        </w:numPr>
        <w:bidi w:val="0"/>
        <w:ind w:left="425" w:hanging="425" w:leftChars="0" w:firstLineChars="0"/>
      </w:pPr>
      <w:r>
        <w:t>参与容量管理过程的持续改进。</w:t>
      </w:r>
    </w:p>
    <w:p>
      <w:pPr>
        <w:pStyle w:val="2"/>
        <w:bidi w:val="0"/>
      </w:pPr>
      <w:bookmarkStart w:id="29" w:name="_Toc32671"/>
      <w:bookmarkStart w:id="30" w:name="heading_13"/>
      <w:r>
        <w:t>过程重要控制点</w:t>
      </w:r>
      <w:bookmarkEnd w:id="29"/>
      <w:bookmarkEnd w:id="30"/>
    </w:p>
    <w:p>
      <w:pPr>
        <w:pStyle w:val="a1"/>
        <w:bidi w:val="0"/>
      </w:pPr>
      <w:r>
        <w:t>容量管理计划、容量阈值、容量告警、容量分析报告。</w:t>
      </w:r>
    </w:p>
    <w:p>
      <w:pPr>
        <w:pStyle w:val="1"/>
        <w:bidi w:val="0"/>
      </w:pPr>
      <w:bookmarkStart w:id="31" w:name="heading_14"/>
      <w:bookmarkStart w:id="32" w:name="_Toc20191"/>
      <w:r>
        <w:t>术语</w:t>
      </w:r>
      <w:bookmarkEnd w:id="31"/>
      <w:bookmarkEnd w:id="32"/>
    </w:p>
    <w:p>
      <w:pPr>
        <w:pStyle w:val="a3"/>
        <w:numPr>
          <w:ilvl w:val="0"/>
          <w:numId w:val="0"/>
        </w:numPr>
        <w:bidi w:val="0"/>
        <w:ind w:leftChars="0"/>
      </w:pPr>
      <w:r>
        <w:t>容量：IT基础设施或服务能够支持的最大工作负载或处理能力。</w:t>
      </w:r>
    </w:p>
    <w:p>
      <w:pPr>
        <w:pStyle w:val="a3"/>
        <w:numPr>
          <w:ilvl w:val="0"/>
          <w:numId w:val="0"/>
        </w:numPr>
        <w:bidi w:val="0"/>
        <w:ind w:leftChars="0"/>
      </w:pPr>
      <w:r>
        <w:t>容量管理：确保IT服务能力满足当前和未来业务需求的过程，包括监控、分析、规划和调整。</w:t>
      </w:r>
    </w:p>
    <w:p>
      <w:pPr>
        <w:pStyle w:val="a3"/>
        <w:numPr>
          <w:ilvl w:val="0"/>
          <w:numId w:val="0"/>
        </w:numPr>
        <w:bidi w:val="0"/>
        <w:ind w:leftChars="0"/>
      </w:pPr>
      <w:r>
        <w:t>容量阈值：预设的容量使用率临界值，当达到或超过该值时需触发预警或调整。</w:t>
      </w:r>
    </w:p>
    <w:p>
      <w:pPr>
        <w:pStyle w:val="a3"/>
        <w:numPr>
          <w:ilvl w:val="0"/>
          <w:numId w:val="0"/>
        </w:numPr>
        <w:bidi w:val="0"/>
        <w:ind w:leftChars="0"/>
      </w:pPr>
      <w:r>
        <w:t>性能瓶颈：限制系统整体性能的关键资源，当该资源达到容量上限时，会影响整个系统的处理能力。</w:t>
      </w:r>
    </w:p>
    <w:p>
      <w:pPr>
        <w:pStyle w:val="a3"/>
        <w:numPr>
          <w:ilvl w:val="0"/>
          <w:numId w:val="0"/>
        </w:numPr>
        <w:bidi w:val="0"/>
        <w:ind w:leftChars="0"/>
      </w:pPr>
      <w:r>
        <w:t>容量规划：根据业务发展趋势，预测未来容量需求，制定相应的容量扩充或优化计划。</w:t>
      </w:r>
    </w:p>
    <w:p>
      <w:pPr>
        <w:pStyle w:val="1"/>
        <w:bidi w:val="0"/>
      </w:pPr>
      <w:bookmarkStart w:id="33" w:name="_Toc1160"/>
      <w:bookmarkStart w:id="34" w:name="heading_15"/>
      <w:r>
        <w:t>流程</w:t>
      </w:r>
      <w:bookmarkEnd w:id="33"/>
      <w:bookmarkEnd w:id="34"/>
    </w:p>
    <w:p>
      <w:pPr>
        <w:pStyle w:val="a1"/>
        <w:bidi w:val="0"/>
        <w:rPr>
          <w:rFonts w:hint="eastAsia"/>
          <w:lang w:val="en-US" w:eastAsia="zh-CN"/>
        </w:rPr>
      </w:pPr>
      <w:r>
        <w:t>容量管理总体流程如</w:t>
      </w:r>
      <w:r>
        <w:rPr>
          <w:rFonts w:hint="eastAsia"/>
          <w:lang w:val="en-US" w:eastAsia="zh-CN"/>
        </w:rPr>
        <w:t>图4-1所示</w:t>
      </w:r>
    </w:p>
    <w:p>
      <w:pPr>
        <w:pStyle w:val="a3"/>
        <w:bidi w:val="0"/>
        <w:jc w:val="center"/>
        <w:rPr>
          <w:rFonts w:eastAsia="宋体"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5" w:name="_Toc24198"/>
      <w:r>
        <w:rPr>
          <w:rFonts w:hint="eastAsia"/>
          <w:lang w:val="en-US" w:eastAsia="zh-CN"/>
        </w:rPr>
        <w:t xml:space="preserve"> 容量管理流程图</w:t>
      </w:r>
      <w:bookmarkEnd w:id="35"/>
    </w:p>
    <w:p>
      <w:pPr>
        <w:pStyle w:val="a1"/>
        <w:bidi w:val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height:192.45pt;width:272.2pt" o:oleicon="f" o:ole="" coordsize="21600,21600" o:preferrelative="t" filled="f" stroked="f">
            <v:stroke joinstyle="miter"/>
            <v:imagedata r:id="rId4" o:title=""/>
            <o:lock v:ext="edit" aspectratio="t"/>
            <w10:anchorlock/>
          </v:shape>
          <o:OLEObject Type="Embed" ProgID="Visio.Drawing.15" ShapeID="_x0000_i1025" DrawAspect="Content" ObjectID="_1468075725" r:id="rId5"/>
        </w:object>
      </w:r>
    </w:p>
    <w:p>
      <w:pPr>
        <w:spacing w:before="120" w:after="120" w:line="288" w:lineRule="auto"/>
        <w:ind w:left="0"/>
        <w:jc w:val="left"/>
      </w:pPr>
    </w:p>
    <w:p>
      <w:pPr>
        <w:pStyle w:val="a1"/>
        <w:bidi w:val="0"/>
      </w:pPr>
      <w:r>
        <w:t>流程图说明：严格对应章节流程，补充异常分支和闭环逻辑，明确各环节衔接关系，与文档5.1至5.5过程描述完全一致，确保流程可落地。</w:t>
      </w:r>
    </w:p>
    <w:p>
      <w:pPr>
        <w:pStyle w:val="1"/>
        <w:bidi w:val="0"/>
      </w:pPr>
      <w:bookmarkStart w:id="36" w:name="_Toc13886"/>
      <w:bookmarkStart w:id="37" w:name="heading_16"/>
      <w:r>
        <w:t>过程描述</w:t>
      </w:r>
      <w:bookmarkEnd w:id="36"/>
      <w:bookmarkEnd w:id="37"/>
    </w:p>
    <w:p>
      <w:pPr>
        <w:pStyle w:val="2"/>
        <w:bidi w:val="0"/>
      </w:pPr>
      <w:bookmarkStart w:id="38" w:name="_Toc12859"/>
      <w:bookmarkStart w:id="39" w:name="heading_17"/>
      <w:r>
        <w:t>容量计划</w:t>
      </w:r>
      <w:bookmarkEnd w:id="38"/>
      <w:bookmarkEnd w:id="39"/>
    </w:p>
    <w:p>
      <w:pPr>
        <w:pStyle w:val="a1"/>
        <w:bidi w:val="0"/>
      </w:pPr>
      <w:r>
        <w:t>容量管理负责人根据服务级别协议（SLA）、业务发展规划和服务合同，编制《容量管理计划》。容量管理计划应包括：</w:t>
      </w:r>
    </w:p>
    <w:p>
      <w:pPr>
        <w:pStyle w:val="a3"/>
        <w:numPr>
          <w:ilvl w:val="0"/>
          <w:numId w:val="7"/>
        </w:numPr>
        <w:bidi w:val="0"/>
        <w:ind w:left="425" w:hanging="425" w:leftChars="0" w:firstLineChars="0"/>
      </w:pPr>
      <w:r>
        <w:t>容量管理的范围和目标；</w:t>
      </w:r>
    </w:p>
    <w:p>
      <w:pPr>
        <w:pStyle w:val="a3"/>
        <w:numPr>
          <w:ilvl w:val="0"/>
          <w:numId w:val="7"/>
        </w:numPr>
        <w:bidi w:val="0"/>
        <w:ind w:left="425" w:hanging="425" w:leftChars="0" w:firstLineChars="0"/>
      </w:pPr>
      <w:r>
        <w:t>关键容量指标和阈值；</w:t>
      </w:r>
    </w:p>
    <w:p>
      <w:pPr>
        <w:pStyle w:val="a3"/>
        <w:numPr>
          <w:ilvl w:val="0"/>
          <w:numId w:val="7"/>
        </w:numPr>
        <w:bidi w:val="0"/>
        <w:ind w:left="425" w:hanging="425" w:leftChars="0" w:firstLineChars="0"/>
      </w:pPr>
      <w:r>
        <w:t>容量监控的频次和方法；</w:t>
      </w:r>
    </w:p>
    <w:p>
      <w:pPr>
        <w:pStyle w:val="a3"/>
        <w:numPr>
          <w:ilvl w:val="0"/>
          <w:numId w:val="7"/>
        </w:numPr>
        <w:bidi w:val="0"/>
        <w:ind w:left="425" w:hanging="425" w:leftChars="0" w:firstLineChars="0"/>
      </w:pPr>
      <w:r>
        <w:t>容量分析的内容和周期；</w:t>
      </w:r>
    </w:p>
    <w:p>
      <w:pPr>
        <w:pStyle w:val="a3"/>
        <w:numPr>
          <w:ilvl w:val="0"/>
          <w:numId w:val="7"/>
        </w:numPr>
        <w:bidi w:val="0"/>
        <w:ind w:left="425" w:hanging="425" w:leftChars="0" w:firstLineChars="0"/>
      </w:pPr>
      <w:r>
        <w:t>容量报告的格式和周期；</w:t>
      </w:r>
    </w:p>
    <w:p>
      <w:pPr>
        <w:pStyle w:val="a3"/>
        <w:numPr>
          <w:ilvl w:val="0"/>
          <w:numId w:val="7"/>
        </w:numPr>
        <w:bidi w:val="0"/>
        <w:ind w:left="425" w:hanging="425" w:leftChars="0" w:firstLineChars="0"/>
      </w:pPr>
      <w:r>
        <w:t>容量调整的审批流程；</w:t>
      </w:r>
    </w:p>
    <w:p>
      <w:pPr>
        <w:pStyle w:val="a3"/>
        <w:numPr>
          <w:ilvl w:val="0"/>
          <w:numId w:val="7"/>
        </w:numPr>
        <w:bidi w:val="0"/>
        <w:ind w:left="425" w:hanging="425" w:leftChars="0" w:firstLineChars="0"/>
      </w:pPr>
      <w:r>
        <w:t>容量管理的角色和职责。</w:t>
      </w:r>
    </w:p>
    <w:p>
      <w:pPr>
        <w:pStyle w:val="a1"/>
        <w:bidi w:val="0"/>
      </w:pPr>
      <w:r>
        <w:t>容量管理计划应每年至少评审一次，必要时进行修订。</w:t>
      </w:r>
    </w:p>
    <w:p>
      <w:pPr>
        <w:pStyle w:val="2"/>
        <w:bidi w:val="0"/>
      </w:pPr>
      <w:bookmarkStart w:id="40" w:name="_Toc12120"/>
      <w:bookmarkStart w:id="41" w:name="heading_18"/>
      <w:r>
        <w:t>容量监控</w:t>
      </w:r>
      <w:bookmarkEnd w:id="40"/>
      <w:bookmarkEnd w:id="41"/>
    </w:p>
    <w:p>
      <w:pPr>
        <w:pStyle w:val="a1"/>
        <w:bidi w:val="0"/>
      </w:pPr>
      <w:r>
        <w:t>容量监控人员按照容量管理计划执行日常容量监控。容量监控包括：</w:t>
      </w:r>
    </w:p>
    <w:p>
      <w:pPr>
        <w:pStyle w:val="3"/>
        <w:bidi w:val="0"/>
      </w:pPr>
      <w:bookmarkStart w:id="42" w:name="heading_19"/>
      <w:bookmarkStart w:id="43" w:name="_Toc14196"/>
      <w:r>
        <w:t>关键容量指标</w:t>
      </w:r>
      <w:bookmarkEnd w:id="42"/>
      <w:bookmarkEnd w:id="43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容量监控指标如表5-1所示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44" w:name="_Toc24894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容量监控指标表</w:t>
      </w:r>
      <w:bookmarkEnd w:id="44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625"/>
        <w:gridCol w:w="2280"/>
        <w:gridCol w:w="4617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625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资源类型</w:t>
            </w:r>
          </w:p>
        </w:tc>
        <w:tc>
          <w:tcPr>
            <w:tcW w:w="228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关键指标</w:t>
            </w:r>
          </w:p>
        </w:tc>
        <w:tc>
          <w:tcPr>
            <w:tcW w:w="4617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建议阈值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625" w:type="dxa"/>
            <w:vMerge w:val="restart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服务器</w:t>
            </w:r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CPU使用率</w:t>
            </w:r>
          </w:p>
        </w:tc>
        <w:tc>
          <w:tcPr>
            <w:tcW w:w="461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&gt;80% 预警，&gt;90% 告警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625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内存使用率</w:t>
            </w:r>
          </w:p>
        </w:tc>
        <w:tc>
          <w:tcPr>
            <w:tcW w:w="461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&gt;85% 预警，&gt;95% 告警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625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磁盘使用率</w:t>
            </w:r>
          </w:p>
        </w:tc>
        <w:tc>
          <w:tcPr>
            <w:tcW w:w="461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&gt;80% 预警，&gt;90% 告警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625" w:type="dxa"/>
            <w:vMerge w:val="restart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网络</w:t>
            </w:r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带宽利用率</w:t>
            </w:r>
          </w:p>
        </w:tc>
        <w:tc>
          <w:tcPr>
            <w:tcW w:w="461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&gt;70% 预警，&gt;85% 告警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625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网络延迟</w:t>
            </w:r>
          </w:p>
        </w:tc>
        <w:tc>
          <w:tcPr>
            <w:tcW w:w="461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&gt;100ms 预警，&gt;200ms 告警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625" w:type="dxa"/>
            <w:vMerge w:val="restart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数据库</w:t>
            </w:r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连接数</w:t>
            </w:r>
          </w:p>
        </w:tc>
        <w:tc>
          <w:tcPr>
            <w:tcW w:w="461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&gt;80% 最大连接数预警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625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表空间使用率</w:t>
            </w:r>
          </w:p>
        </w:tc>
        <w:tc>
          <w:tcPr>
            <w:tcW w:w="461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&gt;80% 预警，&gt;90% 告警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625" w:type="dxa"/>
            <w:vMerge w:val="restart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应用系统</w:t>
            </w:r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响应时间</w:t>
            </w:r>
          </w:p>
        </w:tc>
        <w:tc>
          <w:tcPr>
            <w:tcW w:w="461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&gt;SLA约定值的80%预警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625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并发用户数</w:t>
            </w:r>
          </w:p>
        </w:tc>
        <w:tc>
          <w:tcPr>
            <w:tcW w:w="461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&gt;最大并发数的80%预警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62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前端设备</w:t>
            </w:r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设备在线率</w:t>
            </w:r>
          </w:p>
        </w:tc>
        <w:tc>
          <w:tcPr>
            <w:tcW w:w="461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&lt;95% 预警</w:t>
            </w:r>
          </w:p>
        </w:tc>
      </w:tr>
    </w:tbl>
    <w:p>
      <w:pPr>
        <w:pStyle w:val="3"/>
        <w:bidi w:val="0"/>
      </w:pPr>
      <w:bookmarkStart w:id="45" w:name="heading_20"/>
      <w:bookmarkStart w:id="46" w:name="_Toc26811"/>
      <w:r>
        <w:t>监控方式</w:t>
      </w:r>
      <w:bookmarkEnd w:id="45"/>
      <w:bookmarkEnd w:id="46"/>
    </w:p>
    <w:p>
      <w:pPr>
        <w:pStyle w:val="a3"/>
        <w:numPr>
          <w:ilvl w:val="0"/>
          <w:numId w:val="8"/>
        </w:numPr>
        <w:bidi w:val="0"/>
        <w:ind w:left="425" w:hanging="425" w:leftChars="0" w:firstLineChars="0"/>
      </w:pPr>
      <w:r>
        <w:t>自动监控：通过监控工具自动采集容量数据，实时或定期生成监控记录；</w:t>
      </w:r>
    </w:p>
    <w:p>
      <w:pPr>
        <w:pStyle w:val="a3"/>
        <w:numPr>
          <w:ilvl w:val="0"/>
          <w:numId w:val="8"/>
        </w:numPr>
        <w:bidi w:val="0"/>
        <w:ind w:left="425" w:hanging="425" w:leftChars="0" w:firstLineChars="0"/>
      </w:pPr>
      <w:r>
        <w:t>人工巡检：对于无法自动监控的设备，由运维工程师定期巡检并记录容量数据；</w:t>
      </w:r>
    </w:p>
    <w:p>
      <w:pPr>
        <w:pStyle w:val="a3"/>
        <w:numPr>
          <w:ilvl w:val="0"/>
          <w:numId w:val="8"/>
        </w:numPr>
        <w:bidi w:val="0"/>
        <w:ind w:left="425" w:hanging="425" w:leftChars="0" w:firstLineChars="0"/>
      </w:pPr>
      <w:r>
        <w:t>定期检查：每季度对容量监控数据进行汇总和分析。</w:t>
      </w:r>
    </w:p>
    <w:p>
      <w:pPr>
        <w:pStyle w:val="2"/>
        <w:bidi w:val="0"/>
      </w:pPr>
      <w:bookmarkStart w:id="47" w:name="_Toc24640"/>
      <w:bookmarkStart w:id="48" w:name="heading_21"/>
      <w:r>
        <w:t>容量分析</w:t>
      </w:r>
      <w:bookmarkEnd w:id="47"/>
      <w:bookmarkEnd w:id="48"/>
    </w:p>
    <w:p>
      <w:pPr>
        <w:pStyle w:val="a1"/>
        <w:bidi w:val="0"/>
      </w:pPr>
      <w:r>
        <w:t>容量分析是对监控数据进行分析，识别容量趋势、瓶颈和潜在风险的过程。</w:t>
      </w:r>
    </w:p>
    <w:p>
      <w:pPr>
        <w:pStyle w:val="3"/>
        <w:bidi w:val="0"/>
      </w:pPr>
      <w:bookmarkStart w:id="49" w:name="_Toc24337"/>
      <w:bookmarkStart w:id="50" w:name="heading_22"/>
      <w:r>
        <w:t>分析内容</w:t>
      </w:r>
      <w:bookmarkEnd w:id="49"/>
      <w:bookmarkEnd w:id="50"/>
    </w:p>
    <w:p>
      <w:pPr>
        <w:pStyle w:val="a3"/>
        <w:numPr>
          <w:ilvl w:val="0"/>
          <w:numId w:val="9"/>
        </w:numPr>
        <w:bidi w:val="0"/>
        <w:ind w:left="425" w:hanging="425" w:leftChars="0" w:firstLineChars="0"/>
      </w:pPr>
      <w:r>
        <w:t>趋势分析：分析容量使用率的变化趋势，预测未来容量需求；</w:t>
      </w:r>
    </w:p>
    <w:p>
      <w:pPr>
        <w:pStyle w:val="a3"/>
        <w:numPr>
          <w:ilvl w:val="0"/>
          <w:numId w:val="9"/>
        </w:numPr>
        <w:bidi w:val="0"/>
        <w:ind w:left="425" w:hanging="425" w:leftChars="0" w:firstLineChars="0"/>
      </w:pPr>
      <w:r>
        <w:t>瓶颈分析：识别系统中的容量瓶颈，分析瓶颈产生的原因；</w:t>
      </w:r>
    </w:p>
    <w:p>
      <w:pPr>
        <w:pStyle w:val="a3"/>
        <w:numPr>
          <w:ilvl w:val="0"/>
          <w:numId w:val="9"/>
        </w:numPr>
        <w:bidi w:val="0"/>
        <w:ind w:left="425" w:hanging="425" w:leftChars="0" w:firstLineChars="0"/>
      </w:pPr>
      <w:r>
        <w:t>性能分析：分析系统性能与容量之间的关系，评估容量对性能的影响；</w:t>
      </w:r>
    </w:p>
    <w:p>
      <w:pPr>
        <w:pStyle w:val="a3"/>
        <w:numPr>
          <w:ilvl w:val="0"/>
          <w:numId w:val="9"/>
        </w:numPr>
        <w:bidi w:val="0"/>
        <w:ind w:left="425" w:hanging="425" w:leftChars="0" w:firstLineChars="0"/>
      </w:pPr>
      <w:r>
        <w:t>阈值分析：评估当前容量阈值设置的合理性，必要时进行调整。</w:t>
      </w:r>
    </w:p>
    <w:p>
      <w:pPr>
        <w:pStyle w:val="3"/>
        <w:bidi w:val="0"/>
      </w:pPr>
      <w:bookmarkStart w:id="51" w:name="heading_23"/>
      <w:bookmarkStart w:id="52" w:name="_Toc23602"/>
      <w:r>
        <w:t>分析周期</w:t>
      </w:r>
      <w:bookmarkEnd w:id="51"/>
      <w:bookmarkEnd w:id="52"/>
    </w:p>
    <w:p>
      <w:pPr>
        <w:pStyle w:val="a1"/>
        <w:rPr>
          <w:rFonts w:eastAsia="宋体" w:hint="default"/>
          <w:lang w:val="en-US" w:eastAsia="zh-CN"/>
        </w:rPr>
      </w:pPr>
      <w:r>
        <w:rPr>
          <w:rFonts w:hint="eastAsia"/>
          <w:lang w:val="en-US" w:eastAsia="zh-CN"/>
        </w:rPr>
        <w:t>根据分析周期分为日常分析、月度分析等，详情如表5-2所示。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53" w:name="_Toc20293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分析周期表</w:t>
      </w:r>
      <w:bookmarkEnd w:id="53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406"/>
        <w:gridCol w:w="1125"/>
        <w:gridCol w:w="2894"/>
        <w:gridCol w:w="3097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406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分析类型</w:t>
            </w:r>
          </w:p>
        </w:tc>
        <w:tc>
          <w:tcPr>
            <w:tcW w:w="112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周期</w:t>
            </w:r>
          </w:p>
        </w:tc>
        <w:tc>
          <w:tcPr>
            <w:tcW w:w="289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  <w:tc>
          <w:tcPr>
            <w:tcW w:w="3097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输出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40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日常分析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每周</w:t>
            </w:r>
          </w:p>
        </w:tc>
        <w:tc>
          <w:tcPr>
            <w:tcW w:w="28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硬件/软件运维工程师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日常监控记录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40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月度分析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每月</w:t>
            </w:r>
          </w:p>
        </w:tc>
        <w:tc>
          <w:tcPr>
            <w:tcW w:w="28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运维部经理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容量分析报告（月度）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40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季度分析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每季度</w:t>
            </w:r>
          </w:p>
        </w:tc>
        <w:tc>
          <w:tcPr>
            <w:tcW w:w="28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运维部经理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容量分析报告（季度）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40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年度分析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每年</w:t>
            </w:r>
          </w:p>
        </w:tc>
        <w:tc>
          <w:tcPr>
            <w:tcW w:w="289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运维部经理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容量规划报告</w:t>
            </w:r>
          </w:p>
        </w:tc>
      </w:tr>
    </w:tbl>
    <w:p>
      <w:pPr>
        <w:pStyle w:val="3"/>
        <w:bidi w:val="0"/>
      </w:pPr>
      <w:bookmarkStart w:id="54" w:name="_Toc15107"/>
      <w:bookmarkStart w:id="55" w:name="heading_24"/>
      <w:r>
        <w:t>异常处理</w:t>
      </w:r>
      <w:bookmarkEnd w:id="54"/>
      <w:bookmarkEnd w:id="55"/>
    </w:p>
    <w:p>
      <w:pPr>
        <w:pStyle w:val="a1"/>
        <w:bidi w:val="0"/>
      </w:pPr>
      <w:r>
        <w:t>当发现容量异常（如超过阈值、趋势异常、出现瓶颈）时，容量监控人员应立即上报容量管理负责人，并启动以下流程：</w:t>
      </w:r>
    </w:p>
    <w:p>
      <w:pPr>
        <w:pStyle w:val="a3"/>
        <w:numPr>
          <w:ilvl w:val="0"/>
          <w:numId w:val="10"/>
        </w:numPr>
        <w:bidi w:val="0"/>
        <w:ind w:left="425" w:hanging="425" w:leftChars="0" w:firstLineChars="0"/>
      </w:pPr>
      <w:r>
        <w:t>分析原因：分析容量异常的根本原因；</w:t>
      </w:r>
    </w:p>
    <w:p>
      <w:pPr>
        <w:pStyle w:val="a3"/>
        <w:numPr>
          <w:ilvl w:val="0"/>
          <w:numId w:val="10"/>
        </w:numPr>
        <w:bidi w:val="0"/>
        <w:ind w:left="425" w:hanging="425" w:leftChars="0" w:firstLineChars="0"/>
      </w:pPr>
      <w:r>
        <w:t>评估影响：评估容量异常对服务级别的影响；</w:t>
      </w:r>
    </w:p>
    <w:p>
      <w:pPr>
        <w:pStyle w:val="a3"/>
        <w:numPr>
          <w:ilvl w:val="0"/>
          <w:numId w:val="10"/>
        </w:numPr>
        <w:bidi w:val="0"/>
        <w:ind w:left="425" w:hanging="425" w:leftChars="0" w:firstLineChars="0"/>
      </w:pPr>
      <w:r>
        <w:t>制定方案：制定容量调整方案或临时应对措施；</w:t>
      </w:r>
    </w:p>
    <w:p>
      <w:pPr>
        <w:pStyle w:val="a3"/>
        <w:numPr>
          <w:ilvl w:val="0"/>
          <w:numId w:val="10"/>
        </w:numPr>
        <w:bidi w:val="0"/>
        <w:ind w:left="425" w:hanging="425" w:leftChars="0" w:firstLineChars="0"/>
      </w:pPr>
      <w:r>
        <w:t>发起变更：如需进行容量调整，通过变更管理流程执行。</w:t>
      </w:r>
    </w:p>
    <w:p>
      <w:pPr>
        <w:pStyle w:val="2"/>
        <w:bidi w:val="0"/>
      </w:pPr>
      <w:bookmarkStart w:id="56" w:name="_Toc4900"/>
      <w:bookmarkStart w:id="57" w:name="heading_25"/>
      <w:r>
        <w:t>容量调整</w:t>
      </w:r>
      <w:bookmarkEnd w:id="56"/>
      <w:bookmarkEnd w:id="57"/>
    </w:p>
    <w:p>
      <w:pPr>
        <w:pStyle w:val="a1"/>
        <w:bidi w:val="0"/>
      </w:pPr>
      <w:r>
        <w:t>容量调整是指根据容量分析和规划结果，对IT基础设施或服务能力进行优化或扩充的过程。</w:t>
      </w:r>
    </w:p>
    <w:p>
      <w:pPr>
        <w:pStyle w:val="3"/>
        <w:bidi w:val="0"/>
      </w:pPr>
      <w:bookmarkStart w:id="58" w:name="_Toc1910"/>
      <w:bookmarkStart w:id="59" w:name="heading_26"/>
      <w:r>
        <w:t>容量调整类型</w:t>
      </w:r>
      <w:bookmarkEnd w:id="58"/>
      <w:bookmarkEnd w:id="5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bookmarkStart w:id="60" w:name="_Toc7601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容量调整类型表</w:t>
      </w:r>
      <w:bookmarkEnd w:id="60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115"/>
        <w:gridCol w:w="3316"/>
        <w:gridCol w:w="4091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115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331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  <w:tc>
          <w:tcPr>
            <w:tcW w:w="4091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示例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1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紧急调整</w:t>
            </w:r>
          </w:p>
        </w:tc>
        <w:tc>
          <w:tcPr>
            <w:tcW w:w="331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容量严重不足，可能影响服务可用性</w:t>
            </w:r>
          </w:p>
        </w:tc>
        <w:tc>
          <w:tcPr>
            <w:tcW w:w="409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CPU使用率持续&gt;95%，需立即扩容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1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计划调整</w:t>
            </w:r>
          </w:p>
        </w:tc>
        <w:tc>
          <w:tcPr>
            <w:tcW w:w="331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根据容量预测，提前进行容量扩充</w:t>
            </w:r>
          </w:p>
        </w:tc>
        <w:tc>
          <w:tcPr>
            <w:tcW w:w="409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根据业务增长预测，提前增加服务器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1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优化调整</w:t>
            </w:r>
          </w:p>
        </w:tc>
        <w:tc>
          <w:tcPr>
            <w:tcW w:w="331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通过优化配置提升容量利用率</w:t>
            </w:r>
          </w:p>
        </w:tc>
        <w:tc>
          <w:tcPr>
            <w:tcW w:w="409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负载均衡优化、数据库索引优化</w:t>
            </w:r>
          </w:p>
        </w:tc>
      </w:tr>
    </w:tbl>
    <w:p>
      <w:pPr>
        <w:pStyle w:val="3"/>
        <w:bidi w:val="0"/>
      </w:pPr>
      <w:bookmarkStart w:id="61" w:name="heading_27"/>
      <w:bookmarkStart w:id="62" w:name="_Toc25875"/>
      <w:r>
        <w:t>容量调整流程</w:t>
      </w:r>
      <w:bookmarkEnd w:id="61"/>
      <w:bookmarkEnd w:id="62"/>
    </w:p>
    <w:p>
      <w:pPr>
        <w:pStyle w:val="a1"/>
        <w:bidi w:val="0"/>
      </w:pPr>
      <w:r>
        <w:t>容量调整应通过变更管理流程执行：</w:t>
      </w:r>
    </w:p>
    <w:p>
      <w:pPr>
        <w:pStyle w:val="a3"/>
        <w:numPr>
          <w:ilvl w:val="0"/>
          <w:numId w:val="11"/>
        </w:numPr>
        <w:bidi w:val="0"/>
        <w:ind w:left="425" w:hanging="425" w:leftChars="0" w:firstLineChars="0"/>
      </w:pPr>
      <w:r>
        <w:t>容量管理负责人或容量监控人员提出容量调整建议；</w:t>
      </w:r>
    </w:p>
    <w:p>
      <w:pPr>
        <w:pStyle w:val="a3"/>
        <w:numPr>
          <w:ilvl w:val="0"/>
          <w:numId w:val="11"/>
        </w:numPr>
        <w:bidi w:val="0"/>
        <w:ind w:left="425" w:hanging="425" w:leftChars="0" w:firstLineChars="0"/>
      </w:pPr>
      <w:r>
        <w:t>编制容量调整方案，包括：</w:t>
      </w:r>
    </w:p>
    <w:p>
      <w:pPr>
        <w:pStyle w:val="a3"/>
        <w:numPr>
          <w:ilvl w:val="0"/>
          <w:numId w:val="12"/>
        </w:numPr>
        <w:bidi w:val="0"/>
        <w:ind w:left="845" w:hanging="425" w:leftChars="0" w:firstLineChars="0"/>
      </w:pPr>
      <w:r>
        <w:t>调整原因和依据；</w:t>
      </w:r>
    </w:p>
    <w:p>
      <w:pPr>
        <w:pStyle w:val="a3"/>
        <w:numPr>
          <w:ilvl w:val="0"/>
          <w:numId w:val="12"/>
        </w:numPr>
        <w:bidi w:val="0"/>
        <w:ind w:left="845" w:hanging="425" w:leftChars="0" w:firstLineChars="0"/>
      </w:pPr>
      <w:r>
        <w:t>调整内容和技术方案；</w:t>
      </w:r>
    </w:p>
    <w:p>
      <w:pPr>
        <w:pStyle w:val="a3"/>
        <w:numPr>
          <w:ilvl w:val="0"/>
          <w:numId w:val="12"/>
        </w:numPr>
        <w:bidi w:val="0"/>
        <w:ind w:left="845" w:hanging="425" w:leftChars="0" w:firstLineChars="0"/>
      </w:pPr>
      <w:r>
        <w:t>预期效果和风险分析；</w:t>
      </w:r>
    </w:p>
    <w:p>
      <w:pPr>
        <w:pStyle w:val="a3"/>
        <w:numPr>
          <w:ilvl w:val="0"/>
          <w:numId w:val="12"/>
        </w:numPr>
        <w:bidi w:val="0"/>
        <w:ind w:left="845" w:hanging="425" w:leftChars="0" w:firstLineChars="0"/>
      </w:pPr>
      <w:r>
        <w:t>回退方案；</w:t>
      </w:r>
    </w:p>
    <w:p>
      <w:pPr>
        <w:pStyle w:val="a3"/>
        <w:numPr>
          <w:ilvl w:val="0"/>
          <w:numId w:val="11"/>
        </w:numPr>
        <w:bidi w:val="0"/>
        <w:ind w:left="425" w:hanging="425" w:leftChars="0" w:firstLineChars="0"/>
      </w:pPr>
      <w:r>
        <w:t>提交变更管理流程审批；</w:t>
      </w:r>
    </w:p>
    <w:p>
      <w:pPr>
        <w:pStyle w:val="a3"/>
        <w:numPr>
          <w:ilvl w:val="0"/>
          <w:numId w:val="11"/>
        </w:numPr>
        <w:bidi w:val="0"/>
        <w:ind w:left="425" w:hanging="425" w:leftChars="0" w:firstLineChars="0"/>
      </w:pPr>
      <w:r>
        <w:t>审批通过后，由变更实施人员执行调整；</w:t>
      </w:r>
    </w:p>
    <w:p>
      <w:pPr>
        <w:pStyle w:val="a3"/>
        <w:numPr>
          <w:ilvl w:val="0"/>
          <w:numId w:val="11"/>
        </w:numPr>
        <w:bidi w:val="0"/>
        <w:ind w:left="425" w:hanging="425" w:leftChars="0" w:firstLineChars="0"/>
      </w:pPr>
      <w:r>
        <w:t>调整完成后，更新配置管理数据库；</w:t>
      </w:r>
    </w:p>
    <w:p>
      <w:pPr>
        <w:pStyle w:val="a3"/>
        <w:numPr>
          <w:ilvl w:val="0"/>
          <w:numId w:val="11"/>
        </w:numPr>
        <w:bidi w:val="0"/>
        <w:ind w:left="425" w:hanging="425" w:leftChars="0" w:firstLineChars="0"/>
      </w:pPr>
      <w:r>
        <w:t>持续监控调整后的容量数据，验证调整效果。</w:t>
      </w:r>
    </w:p>
    <w:p>
      <w:pPr>
        <w:pStyle w:val="3"/>
        <w:bidi w:val="0"/>
      </w:pPr>
      <w:bookmarkStart w:id="63" w:name="heading_28"/>
      <w:bookmarkStart w:id="64" w:name="_Toc19058"/>
      <w:r>
        <w:t>容量投资决策</w:t>
      </w:r>
      <w:bookmarkEnd w:id="63"/>
      <w:bookmarkEnd w:id="64"/>
    </w:p>
    <w:p>
      <w:pPr>
        <w:pStyle w:val="a1"/>
        <w:bidi w:val="0"/>
      </w:pPr>
      <w:r>
        <w:t>对于需要新增硬件设备、软件许可或第三方服务的容量扩充，由运维部经理评估必要性，提交公司管理层审批。审批内容包括：</w:t>
      </w:r>
    </w:p>
    <w:p>
      <w:pPr>
        <w:pStyle w:val="a3"/>
        <w:numPr>
          <w:ilvl w:val="0"/>
          <w:numId w:val="13"/>
        </w:numPr>
        <w:bidi w:val="0"/>
        <w:ind w:left="425" w:hanging="425" w:leftChars="0" w:firstLineChars="0"/>
      </w:pPr>
      <w:r>
        <w:t>容量需求分析报告；</w:t>
      </w:r>
    </w:p>
    <w:p>
      <w:pPr>
        <w:pStyle w:val="a3"/>
        <w:numPr>
          <w:ilvl w:val="0"/>
          <w:numId w:val="13"/>
        </w:numPr>
        <w:bidi w:val="0"/>
        <w:ind w:left="425" w:hanging="425" w:leftChars="0" w:firstLineChars="0"/>
      </w:pPr>
      <w:r>
        <w:t>投资估算和成本效益分析；</w:t>
      </w:r>
    </w:p>
    <w:p>
      <w:pPr>
        <w:pStyle w:val="a3"/>
        <w:numPr>
          <w:ilvl w:val="0"/>
          <w:numId w:val="13"/>
        </w:numPr>
        <w:bidi w:val="0"/>
        <w:ind w:left="425" w:hanging="425" w:leftChars="0" w:firstLineChars="0"/>
      </w:pPr>
      <w:r>
        <w:t>实施方案和时间计划；</w:t>
      </w:r>
    </w:p>
    <w:p>
      <w:pPr>
        <w:pStyle w:val="a3"/>
        <w:numPr>
          <w:ilvl w:val="0"/>
          <w:numId w:val="13"/>
        </w:numPr>
        <w:bidi w:val="0"/>
        <w:ind w:left="425" w:hanging="425" w:leftChars="0" w:firstLineChars="0"/>
      </w:pPr>
      <w:r>
        <w:t>预期效果和风险分析。</w:t>
      </w:r>
    </w:p>
    <w:p>
      <w:pPr>
        <w:pStyle w:val="2"/>
        <w:bidi w:val="0"/>
      </w:pPr>
      <w:bookmarkStart w:id="65" w:name="_Toc21982"/>
      <w:bookmarkStart w:id="66" w:name="heading_29"/>
      <w:r>
        <w:t>容量报告</w:t>
      </w:r>
      <w:bookmarkEnd w:id="65"/>
      <w:bookmarkEnd w:id="66"/>
    </w:p>
    <w:p>
      <w:pPr>
        <w:pStyle w:val="a1"/>
        <w:bidi w:val="0"/>
      </w:pPr>
      <w:r>
        <w:t>容量管理负责人定期编制容量报告，向管理层和相关干系人汇报容量状况。</w:t>
      </w:r>
    </w:p>
    <w:p>
      <w:pPr>
        <w:pStyle w:val="3"/>
        <w:bidi w:val="0"/>
      </w:pPr>
      <w:bookmarkStart w:id="67" w:name="heading_30"/>
      <w:bookmarkStart w:id="68" w:name="_Toc7791"/>
      <w:r>
        <w:t>报告内容</w:t>
      </w:r>
      <w:bookmarkEnd w:id="67"/>
      <w:bookmarkEnd w:id="68"/>
    </w:p>
    <w:p>
      <w:pPr>
        <w:pStyle w:val="a1"/>
        <w:bidi w:val="0"/>
      </w:pPr>
      <w:r>
        <w:t>容量报告应包括：</w:t>
      </w:r>
    </w:p>
    <w:p>
      <w:pPr>
        <w:pStyle w:val="a3"/>
        <w:numPr>
          <w:ilvl w:val="0"/>
          <w:numId w:val="14"/>
        </w:numPr>
        <w:bidi w:val="0"/>
        <w:ind w:left="425" w:hanging="425" w:leftChars="0" w:firstLineChars="0"/>
      </w:pPr>
      <w:r>
        <w:t>关键容量指标的现状和趋势；</w:t>
      </w:r>
    </w:p>
    <w:p>
      <w:pPr>
        <w:pStyle w:val="a3"/>
        <w:numPr>
          <w:ilvl w:val="0"/>
          <w:numId w:val="14"/>
        </w:numPr>
        <w:bidi w:val="0"/>
        <w:ind w:left="425" w:hanging="425" w:leftChars="0" w:firstLineChars="0"/>
      </w:pPr>
      <w:r>
        <w:t>容量使用率统计和对比；</w:t>
      </w:r>
    </w:p>
    <w:p>
      <w:pPr>
        <w:pStyle w:val="a3"/>
        <w:numPr>
          <w:ilvl w:val="0"/>
          <w:numId w:val="14"/>
        </w:numPr>
        <w:bidi w:val="0"/>
        <w:ind w:left="425" w:hanging="425" w:leftChars="0" w:firstLineChars="0"/>
      </w:pPr>
      <w:r>
        <w:t>容量告警和异常事件统计；</w:t>
      </w:r>
    </w:p>
    <w:p>
      <w:pPr>
        <w:pStyle w:val="a3"/>
        <w:numPr>
          <w:ilvl w:val="0"/>
          <w:numId w:val="14"/>
        </w:numPr>
        <w:bidi w:val="0"/>
        <w:ind w:left="425" w:hanging="425" w:leftChars="0" w:firstLineChars="0"/>
      </w:pPr>
      <w:r>
        <w:t>容量瓶颈分析；</w:t>
      </w:r>
    </w:p>
    <w:p>
      <w:pPr>
        <w:pStyle w:val="a3"/>
        <w:numPr>
          <w:ilvl w:val="0"/>
          <w:numId w:val="14"/>
        </w:numPr>
        <w:bidi w:val="0"/>
        <w:ind w:left="425" w:hanging="425" w:leftChars="0" w:firstLineChars="0"/>
      </w:pPr>
      <w:r>
        <w:t>容量调整记录；</w:t>
      </w:r>
    </w:p>
    <w:p>
      <w:pPr>
        <w:pStyle w:val="a3"/>
        <w:numPr>
          <w:ilvl w:val="0"/>
          <w:numId w:val="14"/>
        </w:numPr>
        <w:bidi w:val="0"/>
        <w:ind w:left="425" w:hanging="425" w:leftChars="0" w:firstLineChars="0"/>
      </w:pPr>
      <w:r>
        <w:t>未来容量需求预测；</w:t>
      </w:r>
    </w:p>
    <w:p>
      <w:pPr>
        <w:pStyle w:val="a3"/>
        <w:numPr>
          <w:ilvl w:val="0"/>
          <w:numId w:val="14"/>
        </w:numPr>
        <w:bidi w:val="0"/>
        <w:ind w:left="425" w:hanging="425" w:leftChars="0" w:firstLineChars="0"/>
      </w:pPr>
      <w:r>
        <w:t>容量管理改进建议。</w:t>
      </w:r>
    </w:p>
    <w:p>
      <w:pPr>
        <w:pStyle w:val="3"/>
        <w:bidi w:val="0"/>
      </w:pPr>
      <w:bookmarkStart w:id="69" w:name="_Toc27627"/>
      <w:bookmarkStart w:id="70" w:name="heading_31"/>
      <w:r>
        <w:t>报告周期</w:t>
      </w:r>
      <w:bookmarkEnd w:id="69"/>
      <w:bookmarkEnd w:id="7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eastAsia="宋体"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bookmarkStart w:id="71" w:name="_Toc7105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报告周期表</w:t>
      </w:r>
      <w:bookmarkEnd w:id="71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2211"/>
        <w:gridCol w:w="945"/>
        <w:gridCol w:w="5366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21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报告类型</w:t>
            </w:r>
          </w:p>
        </w:tc>
        <w:tc>
          <w:tcPr>
            <w:tcW w:w="94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周期</w:t>
            </w:r>
          </w:p>
        </w:tc>
        <w:tc>
          <w:tcPr>
            <w:tcW w:w="5366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发送范围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21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容量监控报告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每周</w:t>
            </w:r>
          </w:p>
        </w:tc>
        <w:tc>
          <w:tcPr>
            <w:tcW w:w="536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运维部内部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21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容量分析报告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每月</w:t>
            </w:r>
          </w:p>
        </w:tc>
        <w:tc>
          <w:tcPr>
            <w:tcW w:w="536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运维部经理、研发部经理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21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容量规划报告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每年</w:t>
            </w:r>
          </w:p>
        </w:tc>
        <w:tc>
          <w:tcPr>
            <w:tcW w:w="536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管理层、质量部、客户（如有约定）</w:t>
            </w:r>
          </w:p>
        </w:tc>
      </w:tr>
    </w:tbl>
    <w:p>
      <w:pPr>
        <w:pStyle w:val="1"/>
        <w:bidi w:val="0"/>
      </w:pPr>
      <w:bookmarkStart w:id="72" w:name="_Toc5855"/>
      <w:bookmarkStart w:id="73" w:name="heading_34"/>
      <w:r>
        <w:t>相关文件</w:t>
      </w:r>
      <w:bookmarkEnd w:id="72"/>
      <w:bookmarkEnd w:id="73"/>
    </w:p>
    <w:p>
      <w:pPr>
        <w:pStyle w:val="a3"/>
        <w:numPr>
          <w:ilvl w:val="0"/>
          <w:numId w:val="15"/>
        </w:numPr>
        <w:bidi w:val="0"/>
        <w:ind w:left="425" w:hanging="425" w:leftChars="0" w:firstLineChars="0"/>
      </w:pPr>
      <w:r>
        <w:t>《变更管理程序》</w:t>
      </w:r>
    </w:p>
    <w:p>
      <w:pPr>
        <w:pStyle w:val="a3"/>
        <w:numPr>
          <w:ilvl w:val="0"/>
          <w:numId w:val="15"/>
        </w:numPr>
        <w:bidi w:val="0"/>
        <w:ind w:left="425" w:hanging="425" w:leftChars="0" w:firstLineChars="0"/>
      </w:pPr>
      <w:r>
        <w:t>《事件管理程序》</w:t>
      </w:r>
    </w:p>
    <w:p>
      <w:pPr>
        <w:pStyle w:val="a3"/>
        <w:numPr>
          <w:ilvl w:val="0"/>
          <w:numId w:val="15"/>
        </w:numPr>
        <w:bidi w:val="0"/>
        <w:ind w:left="425" w:hanging="425" w:leftChars="0" w:firstLineChars="0"/>
      </w:pPr>
      <w:r>
        <w:t>《问题管理程序》</w:t>
      </w:r>
    </w:p>
    <w:p>
      <w:pPr>
        <w:pStyle w:val="a3"/>
        <w:numPr>
          <w:ilvl w:val="0"/>
          <w:numId w:val="15"/>
        </w:numPr>
        <w:bidi w:val="0"/>
        <w:ind w:left="425" w:hanging="425" w:leftChars="0" w:firstLineChars="0"/>
      </w:pPr>
      <w:r>
        <w:t>《配置管理程序》</w:t>
      </w:r>
    </w:p>
    <w:p>
      <w:pPr>
        <w:pStyle w:val="a3"/>
        <w:numPr>
          <w:ilvl w:val="0"/>
          <w:numId w:val="15"/>
        </w:numPr>
        <w:bidi w:val="0"/>
        <w:ind w:left="425" w:hanging="425" w:leftChars="0" w:firstLineChars="0"/>
      </w:pPr>
      <w:r>
        <w:t>《服务级别管理程序》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4" w:name="_Toc251"/>
      <w:r>
        <w:rPr>
          <w:rFonts w:hint="default"/>
          <w:lang w:val="en-US" w:eastAsia="zh-CN"/>
        </w:rPr>
        <w:t>KPI指标</w:t>
      </w:r>
      <w:bookmarkEnd w:id="3"/>
      <w:bookmarkEnd w:id="7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7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75" w:name="_Toc18262"/>
      <w:bookmarkStart w:id="76" w:name="_Toc15905"/>
      <w:r>
        <w:rPr>
          <w:rFonts w:hint="default"/>
          <w:lang w:val="en-US" w:eastAsia="zh-CN"/>
        </w:rPr>
        <w:t xml:space="preserve"> KPI指标表</w:t>
      </w:r>
      <w:bookmarkEnd w:id="75"/>
      <w:bookmarkEnd w:id="76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1"/>
        <w:gridCol w:w="4703"/>
        <w:gridCol w:w="998"/>
        <w:gridCol w:w="1060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76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指标</w:t>
            </w:r>
            <w:r>
              <w:rPr>
                <w:rFonts w:ascii="Segoe UI" w:eastAsia="Segoe UI" w:hAnsi="Segoe UI" w:cs="Segoe UI" w:hint="eastAsia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名称</w:t>
            </w:r>
          </w:p>
        </w:tc>
        <w:tc>
          <w:tcPr>
            <w:tcW w:w="470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eastAsia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指标计算</w:t>
            </w: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方式</w:t>
            </w:r>
          </w:p>
        </w:tc>
        <w:tc>
          <w:tcPr>
            <w:tcW w:w="99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eastAsia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eastAsia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目标值</w:t>
            </w:r>
          </w:p>
        </w:tc>
        <w:tc>
          <w:tcPr>
            <w:tcW w:w="1060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/>
              </w:rPr>
            </w:pPr>
            <w:r>
              <w:rPr>
                <w:rFonts w:ascii="Segoe UI" w:eastAsia="Segoe UI" w:hAnsi="Segoe UI" w:cs="Segoe UI" w:hint="eastAsia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考核频次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76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cs="Arial" w:hint="default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cs="Arial" w:hint="eastAsia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  <w:t>容量报告及时性</w:t>
            </w:r>
          </w:p>
        </w:tc>
        <w:tc>
          <w:tcPr>
            <w:tcW w:w="470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cs="Arial" w:hint="default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cs="Arial" w:hint="default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  <w:t>（</w:t>
            </w:r>
            <w:r>
              <w:rPr>
                <w:rFonts w:cs="Arial" w:hint="eastAsia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  <w:t>实际按时提交的报告数/应按时提交的报告数</w:t>
            </w:r>
            <w:r>
              <w:rPr>
                <w:rFonts w:cs="Arial" w:hint="default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  <w:t>）×100%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Ansi="Arial" w:cs="Arial" w:hint="default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cs="Arial" w:hint="default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  <w:t>≥9</w:t>
            </w:r>
            <w:r>
              <w:rPr>
                <w:rFonts w:cs="Arial" w:hint="eastAsia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  <w:t>5</w:t>
            </w:r>
            <w:r>
              <w:rPr>
                <w:rFonts w:cs="Arial" w:hint="default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  <w:t>%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Ansi="Arial" w:cs="Arial" w:hint="eastAsia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cs="Arial" w:hint="eastAsia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  <w:t>季度</w:t>
            </w:r>
          </w:p>
        </w:tc>
      </w:tr>
    </w:tbl>
    <w:p>
      <w:pPr>
        <w:pStyle w:val="1"/>
        <w:bidi w:val="0"/>
      </w:pPr>
      <w:bookmarkStart w:id="77" w:name="heading_35"/>
      <w:bookmarkStart w:id="78" w:name="_Toc21034"/>
      <w:r>
        <w:t>输出的文件及记录</w:t>
      </w:r>
      <w:bookmarkEnd w:id="77"/>
      <w:bookmarkEnd w:id="7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eastAsia="宋体"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8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79" w:name="_Toc1810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输出文件和记录表</w:t>
      </w:r>
      <w:bookmarkEnd w:id="79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5479"/>
        <w:gridCol w:w="3043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5479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文件和记录</w:t>
            </w:r>
          </w:p>
        </w:tc>
        <w:tc>
          <w:tcPr>
            <w:tcW w:w="304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责任部门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547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《容量管理计划》</w:t>
            </w:r>
          </w:p>
        </w:tc>
        <w:tc>
          <w:tcPr>
            <w:tcW w:w="304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运维部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547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《容量监控记录》</w:t>
            </w:r>
          </w:p>
        </w:tc>
        <w:tc>
          <w:tcPr>
            <w:tcW w:w="304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运维部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547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《容量分析报告》</w:t>
            </w:r>
          </w:p>
        </w:tc>
        <w:tc>
          <w:tcPr>
            <w:tcW w:w="304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运维部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547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《容量调整记录》</w:t>
            </w:r>
          </w:p>
        </w:tc>
        <w:tc>
          <w:tcPr>
            <w:tcW w:w="304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运维部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547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《容量规划报告》</w:t>
            </w:r>
          </w:p>
        </w:tc>
        <w:tc>
          <w:tcPr>
            <w:tcW w:w="304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运维部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B3CF024"/>
    <w:multiLevelType w:val="singleLevel"/>
    <w:tmpl w:val="8B3CF024"/>
    <w:lvl w:ilvl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932955DD"/>
    <w:multiLevelType w:val="singleLevel"/>
    <w:tmpl w:val="932955D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B670664A"/>
    <w:multiLevelType w:val="singleLevel"/>
    <w:tmpl w:val="B670664A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CD27B16A"/>
    <w:multiLevelType w:val="singleLevel"/>
    <w:tmpl w:val="CD27B16A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DB28533F"/>
    <w:multiLevelType w:val="singleLevel"/>
    <w:tmpl w:val="DB28533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02A6D2B1"/>
    <w:multiLevelType w:val="singleLevel"/>
    <w:tmpl w:val="02A6D2B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06C74302"/>
    <w:multiLevelType w:val="singleLevel"/>
    <w:tmpl w:val="06C7430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2A3ECF79"/>
    <w:multiLevelType w:val="singleLevel"/>
    <w:tmpl w:val="2A3ECF7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37DABBB8"/>
    <w:multiLevelType w:val="singleLevel"/>
    <w:tmpl w:val="37DABBB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38B1CB40"/>
    <w:multiLevelType w:val="singleLevel"/>
    <w:tmpl w:val="38B1CB4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5224521D"/>
    <w:multiLevelType w:val="singleLevel"/>
    <w:tmpl w:val="5224521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54464685"/>
    <w:multiLevelType w:val="singleLevel"/>
    <w:tmpl w:val="5446468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3">
    <w:nsid w:val="6213F925"/>
    <w:multiLevelType w:val="singleLevel"/>
    <w:tmpl w:val="6213F92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4">
    <w:nsid w:val="739ECD42"/>
    <w:multiLevelType w:val="singleLevel"/>
    <w:tmpl w:val="739ECD4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13"/>
  </w:num>
  <w:num w:numId="3">
    <w:abstractNumId w:val="8"/>
  </w:num>
  <w:num w:numId="4">
    <w:abstractNumId w:val="2"/>
  </w:num>
  <w:num w:numId="5">
    <w:abstractNumId w:val="7"/>
  </w:num>
  <w:num w:numId="6">
    <w:abstractNumId w:val="10"/>
  </w:num>
  <w:num w:numId="7">
    <w:abstractNumId w:val="4"/>
  </w:num>
  <w:num w:numId="8">
    <w:abstractNumId w:val="9"/>
  </w:num>
  <w:num w:numId="9">
    <w:abstractNumId w:val="14"/>
  </w:num>
  <w:num w:numId="10">
    <w:abstractNumId w:val="11"/>
  </w:num>
  <w:num w:numId="11">
    <w:abstractNumId w:val="12"/>
  </w:num>
  <w:num w:numId="12">
    <w:abstractNumId w:val="0"/>
  </w:num>
  <w:num w:numId="13">
    <w:abstractNumId w:val="5"/>
  </w:num>
  <w:num w:numId="14">
    <w:abstractNumId w:val="6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7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 w:qFormat="1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ableofFigures">
    <w:name w:val="table of figures"/>
    <w:basedOn w:val="Normal"/>
    <w:next w:val="Normal"/>
    <w:qFormat/>
    <w:pPr>
      <w:ind w:hanging="200" w:leftChars="200" w:hangingChars="200"/>
    </w:p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 w:hint="eastAsia"/>
      <w:kern w:val="0"/>
      <w:sz w:val="24"/>
      <w:szCs w:val="24"/>
      <w:lang w:val="en-US" w:eastAsia="zh-CN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3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4"/>
    <w:qFormat/>
  </w:style>
  <w:style w:type="paragraph" w:customStyle="1" w:styleId="a4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emf" /><Relationship Id="rId5" Type="http://schemas.openxmlformats.org/officeDocument/2006/relationships/oleObject" Target="embeddings/oleObject1.bin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1034</Words>
  <Characters>1276</Characters>
  <Application>Microsoft Office Word</Application>
  <DocSecurity>0</DocSecurity>
  <Lines>0</Lines>
  <Paragraphs>0</Paragraphs>
  <ScaleCrop>false</ScaleCrop>
  <Company/>
  <LinksUpToDate>false</LinksUpToDate>
  <CharactersWithSpaces>1392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2026-09-01T10:12:53Z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2052-12.1.0.28505</vt:lpwstr>
  </property>
  <property fmtid="{D5CDD505-2E9C-101B-9397-08002B2CF9AE}" pid="4" name="KSOTemplateDocerSaveRecord">
    <vt:lpwstr>eyJoZGlkIjoiYjk5ODM0YmMxOWJiYWQyNDU4MGIzYWRmYTA0ZmI5NDciLCJ1c2VySWQiOiIxMDc1MzgyOSJ9</vt:lpwstr>
  </property>
</Properties>
</file>