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02ED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5A658F3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国泰新点大OA系统运维服务项目</w:t>
      </w:r>
      <w:r>
        <w:rPr>
          <w:rFonts w:hint="eastAsia"/>
          <w:lang w:val="en-US" w:eastAsia="zh-CN"/>
        </w:rPr>
        <w:br w:type="textWrapping"/>
      </w:r>
      <w:bookmarkStart w:id="24" w:name="_GoBack"/>
      <w:bookmarkEnd w:id="24"/>
      <w:r>
        <w:rPr>
          <w:rFonts w:hint="eastAsia"/>
          <w:lang w:val="en-US" w:eastAsia="zh-CN"/>
        </w:rPr>
        <w:t>信息安全管理计划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336BC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302C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93F3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SFKJ-ITSS-0615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CD97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8D18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1E96A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3E72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A2CB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FE235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4923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2026.01.10</w:t>
            </w:r>
          </w:p>
        </w:tc>
      </w:tr>
      <w:tr w14:paraId="6C979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23A9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C6B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7DCD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7C94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2026.01.10</w:t>
            </w:r>
          </w:p>
        </w:tc>
      </w:tr>
      <w:tr w14:paraId="217AA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F922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1AD0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9C23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CB92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2026.01.10</w:t>
            </w:r>
          </w:p>
        </w:tc>
      </w:tr>
      <w:tr w14:paraId="20D3A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72C7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CAC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9E8C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19E5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2026.01.10</w:t>
            </w:r>
          </w:p>
        </w:tc>
      </w:tr>
    </w:tbl>
    <w:p w14:paraId="0D9120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77C563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15CBB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7AD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C24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933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925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865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77CE1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607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071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2026.01.10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7D5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44E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BA1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F5A1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C1A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DCA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AC4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3DA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46C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E11D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2C9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5C1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819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093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BAB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E810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144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926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FDB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CFF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727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320B626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40DCF1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1047A8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_Toc8110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B9CE2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_Toc13878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2AF77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_Toc10741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信息安全目标</w:t>
          </w:r>
          <w:r>
            <w:tab/>
          </w:r>
          <w:r>
            <w:fldChar w:fldCharType="begin"/>
          </w:r>
          <w:r>
            <w:instrText xml:space="preserve"> PAGEREF _Toc10741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1BFFD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_Toc7584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信息安全组织与职责</w:t>
          </w:r>
          <w:r>
            <w:tab/>
          </w:r>
          <w:r>
            <w:fldChar w:fldCharType="begin"/>
          </w:r>
          <w:r>
            <w:instrText xml:space="preserve"> PAGEREF _Toc7584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6D4A3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_Toc14108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信息资产识别与分类</w:t>
          </w:r>
          <w:r>
            <w:tab/>
          </w:r>
          <w:r>
            <w:fldChar w:fldCharType="begin"/>
          </w:r>
          <w:r>
            <w:instrText xml:space="preserve"> PAGEREF _Toc14108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FD1941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_Toc10659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信息资产清单</w:t>
          </w:r>
          <w:r>
            <w:tab/>
          </w:r>
          <w:r>
            <w:fldChar w:fldCharType="begin"/>
          </w:r>
          <w:r>
            <w:instrText xml:space="preserve"> PAGEREF _Toc10659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A68645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信息资产分级</w:t>
          </w:r>
          <w:r>
            <w:tab/>
          </w:r>
          <w:r>
            <w:fldChar w:fldCharType="begin"/>
          </w:r>
          <w:r>
            <w:instrText xml:space="preserve"> PAGEREF _Toc32716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9631C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_Toc29700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信息安全风险评估</w:t>
          </w:r>
          <w:r>
            <w:tab/>
          </w:r>
          <w:r>
            <w:fldChar w:fldCharType="begin"/>
          </w:r>
          <w:r>
            <w:instrText xml:space="preserve"> PAGEREF _Toc29700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3C4021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_Toc29556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主要风险识别</w:t>
          </w:r>
          <w:r>
            <w:tab/>
          </w:r>
          <w:r>
            <w:fldChar w:fldCharType="begin"/>
          </w:r>
          <w:r>
            <w:instrText xml:space="preserve"> PAGEREF _Toc29556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62B62D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风险应对措施</w:t>
          </w:r>
          <w:r>
            <w:tab/>
          </w:r>
          <w:r>
            <w:fldChar w:fldCharType="begin"/>
          </w:r>
          <w:r>
            <w:instrText xml:space="preserve"> PAGEREF _Toc24650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C5D9C1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信息安全管控措施</w:t>
          </w:r>
          <w:r>
            <w:tab/>
          </w:r>
          <w:r>
            <w:fldChar w:fldCharType="begin"/>
          </w:r>
          <w:r>
            <w:instrText xml:space="preserve"> PAGEREF _Toc6664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65A058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_Toc26361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访问控制管理</w:t>
          </w:r>
          <w:r>
            <w:tab/>
          </w:r>
          <w:r>
            <w:fldChar w:fldCharType="begin"/>
          </w:r>
          <w:r>
            <w:instrText xml:space="preserve"> PAGEREF _Toc26361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7CCA012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_Toc24791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数据安全管理</w:t>
          </w:r>
          <w:r>
            <w:tab/>
          </w:r>
          <w:r>
            <w:fldChar w:fldCharType="begin"/>
          </w:r>
          <w:r>
            <w:instrText xml:space="preserve"> PAGEREF _Toc24791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A72A89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_Toc9113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网络安全防护</w:t>
          </w:r>
          <w:r>
            <w:tab/>
          </w:r>
          <w:r>
            <w:fldChar w:fldCharType="begin"/>
          </w:r>
          <w:r>
            <w:instrText xml:space="preserve"> PAGEREF _Toc9113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7AE6AA0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_Toc4853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系统安全加固</w:t>
          </w:r>
          <w:r>
            <w:tab/>
          </w:r>
          <w:r>
            <w:fldChar w:fldCharType="begin"/>
          </w:r>
          <w:r>
            <w:instrText xml:space="preserve"> PAGEREF _Toc4853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55C7BE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7.5. 物理安全防护</w:t>
          </w:r>
          <w:r>
            <w:tab/>
          </w:r>
          <w:r>
            <w:fldChar w:fldCharType="begin"/>
          </w:r>
          <w:r>
            <w:instrText xml:space="preserve"> PAGEREF _Toc1007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6376539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7.6. 人员安全管理</w:t>
          </w:r>
          <w:r>
            <w:tab/>
          </w:r>
          <w:r>
            <w:fldChar w:fldCharType="begin"/>
          </w:r>
          <w:r>
            <w:instrText xml:space="preserve"> PAGEREF _Toc519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17FEA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信息安全事件管理</w:t>
          </w:r>
          <w:r>
            <w:tab/>
          </w:r>
          <w:r>
            <w:fldChar w:fldCharType="begin"/>
          </w:r>
          <w:r>
            <w:instrText xml:space="preserve"> PAGEREF _Toc10777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E82DA33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事件分级</w:t>
          </w:r>
          <w:r>
            <w:tab/>
          </w:r>
          <w:r>
            <w:fldChar w:fldCharType="begin"/>
          </w:r>
          <w:r>
            <w:instrText xml:space="preserve"> PAGEREF _Toc19071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F142283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事件响应流程</w:t>
          </w:r>
          <w:r>
            <w:tab/>
          </w:r>
          <w:r>
            <w:fldChar w:fldCharType="begin"/>
          </w:r>
          <w:r>
            <w:instrText xml:space="preserve"> PAGEREF _Toc24684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BC9DC9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_Toc13946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信息安全培训与意识</w:t>
          </w:r>
          <w:r>
            <w:tab/>
          </w:r>
          <w:r>
            <w:fldChar w:fldCharType="begin"/>
          </w:r>
          <w:r>
            <w:instrText xml:space="preserve"> PAGEREF _Toc13946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81339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_Toc13627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信息安全检查与审计</w:t>
          </w:r>
          <w:r>
            <w:tab/>
          </w:r>
          <w:r>
            <w:fldChar w:fldCharType="begin"/>
          </w:r>
          <w:r>
            <w:instrText xml:space="preserve"> PAGEREF _Toc13627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472A5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5215161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001EF061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_Toc16367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信息安全组织职责表</w:t>
      </w:r>
      <w:r>
        <w:tab/>
      </w:r>
      <w:r>
        <w:fldChar w:fldCharType="begin"/>
      </w:r>
      <w:r>
        <w:instrText xml:space="preserve"> PAGEREF _Toc16367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BFB3CF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 w14:paraId="7ECA826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8110"/>
      <w:r>
        <w:rPr>
          <w:rFonts w:hint="default"/>
          <w:lang w:val="en-US" w:eastAsia="zh-CN"/>
        </w:rPr>
        <w:t>目的</w:t>
      </w:r>
      <w:bookmarkEnd w:id="1"/>
    </w:p>
    <w:p w14:paraId="6CE2FC3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为保障《国泰新点大OA系统运维服务项目》项目在服务期内的信息安全，确保信息资产的机密性、完整性和可用性，防范信息安全风险，满足客户安全需求和法律法规要求，特制定本计划。</w:t>
      </w:r>
    </w:p>
    <w:p w14:paraId="0FEAB2E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3878"/>
      <w:r>
        <w:rPr>
          <w:rFonts w:hint="default"/>
          <w:lang w:val="en-US" w:eastAsia="zh-CN"/>
        </w:rPr>
        <w:t>适用范围</w:t>
      </w:r>
      <w:bookmarkEnd w:id="2"/>
    </w:p>
    <w:p w14:paraId="5ED737B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本计划适用于本项目运维服务全过程中与信息安全管理相关的活动，涵盖以下范围：</w:t>
      </w:r>
    </w:p>
    <w:p w14:paraId="4CC1F5F0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信息系统：国泰新点大OA系统运维服务项目、数据库、监控系统</w:t>
      </w:r>
    </w:p>
    <w:p w14:paraId="58A253A0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基础设施：服务器、网络设备、服务器、网络设备</w:t>
      </w:r>
    </w:p>
    <w:p w14:paraId="1F4D468E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数据资产：业务数据、配置数据、日志数据、备份数据</w:t>
      </w:r>
    </w:p>
    <w:p w14:paraId="1CD8C539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人员：项目运维人员、管理人员、第三方支持人员</w:t>
      </w:r>
    </w:p>
    <w:p w14:paraId="42D065F7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场所：数据中心、办公区、客户客户现场现场</w:t>
      </w:r>
    </w:p>
    <w:p w14:paraId="1C04111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0741"/>
      <w:r>
        <w:rPr>
          <w:rFonts w:hint="default"/>
          <w:lang w:val="en-US" w:eastAsia="zh-CN"/>
        </w:rPr>
        <w:t>信息安全目标</w:t>
      </w:r>
      <w:bookmarkEnd w:id="3"/>
    </w:p>
    <w:p w14:paraId="48BC76F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本计划设定以下信息安全目标，作为项目安全管理的工作指引：</w:t>
      </w:r>
    </w:p>
    <w:p w14:paraId="1FD675E9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信息安全事件：全年0次因我方人员造成的信息安全事件</w:t>
      </w:r>
    </w:p>
    <w:p w14:paraId="22FB28B0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数据备份：关键数据每日备份成功率达到100%</w:t>
      </w:r>
    </w:p>
    <w:p w14:paraId="7E00B619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访问控制：权限申请、变更、回收符合流程要求</w:t>
      </w:r>
    </w:p>
    <w:p w14:paraId="1C5F1D0A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漏洞修复：高危漏洞在发现后7天内完成修复</w:t>
      </w:r>
    </w:p>
    <w:p w14:paraId="7D1465A9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安全培训：项目运维人员年度安全培训覆盖率达到100%</w:t>
      </w:r>
    </w:p>
    <w:p w14:paraId="5A3F524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7584"/>
      <w:r>
        <w:rPr>
          <w:rFonts w:hint="default"/>
          <w:lang w:val="en-US" w:eastAsia="zh-CN"/>
        </w:rPr>
        <w:t>信息安全组织与职责</w:t>
      </w:r>
      <w:bookmarkEnd w:id="4"/>
    </w:p>
    <w:p w14:paraId="737A616A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16367"/>
      <w:r>
        <w:rPr>
          <w:rFonts w:hint="eastAsia"/>
          <w:lang w:val="en-US" w:eastAsia="zh-CN"/>
        </w:rPr>
        <w:t xml:space="preserve"> 信息安全组织职责表</w:t>
      </w:r>
      <w:bookmarkEnd w:id="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1699"/>
        <w:gridCol w:w="5018"/>
      </w:tblGrid>
      <w:tr w14:paraId="4437B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FBA8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角色</w:t>
            </w:r>
          </w:p>
        </w:tc>
        <w:tc>
          <w:tcPr>
            <w:tcW w:w="16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D5B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</w:t>
            </w:r>
          </w:p>
        </w:tc>
        <w:tc>
          <w:tcPr>
            <w:tcW w:w="501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4AB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职责</w:t>
            </w:r>
          </w:p>
        </w:tc>
      </w:tr>
      <w:tr w14:paraId="7A602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A6974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信息安全管理负责人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75B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A9CE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负责项目信息安全整体管理，审批安全策略，监督安全措施执行</w:t>
            </w:r>
          </w:p>
        </w:tc>
      </w:tr>
      <w:tr w14:paraId="0E15C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D8571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信息安全执行人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3D3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D586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负责日常安全管理工作，组织风险评估，协调安全事件处理</w:t>
            </w:r>
          </w:p>
        </w:tc>
      </w:tr>
      <w:tr w14:paraId="54037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C3A4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C41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969A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负责系统安全配置、漏洞修复、访问控制管理</w:t>
            </w:r>
          </w:p>
        </w:tc>
      </w:tr>
      <w:tr w14:paraId="351B6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A61D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621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F226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负责网络设备安全配置、防火墙策略、入侵检测</w:t>
            </w:r>
          </w:p>
        </w:tc>
      </w:tr>
      <w:tr w14:paraId="3F5E2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77C0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F70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101C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负责数据备份、数据加密、数据恢复验证</w:t>
            </w:r>
          </w:p>
        </w:tc>
      </w:tr>
      <w:tr w14:paraId="273CD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1B19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物理安全责任人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C78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BC52F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负责机房及设备物理安全、门禁管理</w:t>
            </w:r>
          </w:p>
        </w:tc>
      </w:tr>
      <w:tr w14:paraId="3B8F7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92DF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安全监督人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900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质量部专员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A5CB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负责安全合规检查、安全审计</w:t>
            </w:r>
          </w:p>
        </w:tc>
      </w:tr>
    </w:tbl>
    <w:p w14:paraId="03DC0466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2F6AEAA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4108"/>
      <w:r>
        <w:rPr>
          <w:rFonts w:hint="default"/>
          <w:lang w:val="en-US" w:eastAsia="zh-CN"/>
        </w:rPr>
        <w:t>信息资产识别与分类</w:t>
      </w:r>
      <w:bookmarkEnd w:id="6"/>
    </w:p>
    <w:p w14:paraId="1DC3C17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0659"/>
      <w:r>
        <w:rPr>
          <w:rFonts w:hint="default"/>
          <w:lang w:val="en-US" w:eastAsia="zh-CN"/>
        </w:rPr>
        <w:t>信息资产清单</w:t>
      </w:r>
      <w:bookmarkEnd w:id="7"/>
    </w:p>
    <w:p w14:paraId="0FBE0C5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项目主要信息资产包括以下几类：</w:t>
      </w:r>
    </w:p>
    <w:p w14:paraId="1626AD4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软件资产：大OA系统、达梦数据库、东方通中间件、监控系统</w:t>
      </w:r>
    </w:p>
    <w:p w14:paraId="4292764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硬件资产：应用服务器、数据库服务器、网络设备（路由器、交换机）、服务器、网络设备</w:t>
      </w:r>
    </w:p>
    <w:p w14:paraId="34C65FB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数据资产：业务数据（OA系统业务数据、配置数据）、配置数据、日志数据、备份数据</w:t>
      </w:r>
    </w:p>
    <w:p w14:paraId="72DDFF2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文档资产：技术文档、操作手册、安全策略、应急预案</w:t>
      </w:r>
    </w:p>
    <w:p w14:paraId="4A6DE58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2716"/>
      <w:r>
        <w:rPr>
          <w:rFonts w:hint="default"/>
          <w:lang w:val="en-US" w:eastAsia="zh-CN"/>
        </w:rPr>
        <w:t>信息资产分级</w:t>
      </w:r>
      <w:bookmarkEnd w:id="8"/>
    </w:p>
    <w:p w14:paraId="12E9911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根据信息资产的重要程度和影响范围，划分为三个安全等级：</w:t>
      </w:r>
    </w:p>
    <w:p w14:paraId="28AD4B3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高等级资产：客户业务数据、数据库、系统核心配置、授权文件。此类资产泄露或损坏将造成严重影响，需采取最高级别保护措施，包括存储加密、传输加密、严格访问控制。</w:t>
      </w:r>
    </w:p>
    <w:p w14:paraId="5BEAD62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中等级资产：系统配置、监控数据、技术方案、运维报告。此类资产泄露或损坏将造成一定影响，需采取标准安全保护措施。</w:t>
      </w:r>
    </w:p>
    <w:p w14:paraId="1FF6358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低等级资产：日常记录、培训资料、日志文件。此类资产影响较小，采取基础安全保护措施即可。</w:t>
      </w:r>
    </w:p>
    <w:p w14:paraId="069163D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9700"/>
      <w:r>
        <w:rPr>
          <w:rFonts w:hint="default"/>
          <w:lang w:val="en-US" w:eastAsia="zh-CN"/>
        </w:rPr>
        <w:t>信息安全风险评估</w:t>
      </w:r>
      <w:bookmarkEnd w:id="9"/>
    </w:p>
    <w:p w14:paraId="54297AD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9556"/>
      <w:r>
        <w:rPr>
          <w:rFonts w:hint="default"/>
          <w:lang w:val="en-US" w:eastAsia="zh-CN"/>
        </w:rPr>
        <w:t>主要风险识别</w:t>
      </w:r>
      <w:bookmarkEnd w:id="10"/>
    </w:p>
    <w:p w14:paraId="64B279F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项目面临的主要信息安全风险包括：</w:t>
      </w:r>
    </w:p>
    <w:p w14:paraId="3EC734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技术风险：系统漏洞可能被利用导致数据泄露或系统入侵；数据库遭受攻击；网络入侵造成服务中断。</w:t>
      </w:r>
    </w:p>
    <w:p w14:paraId="7B0F511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数据风险：客户数据泄露；数据丢失或损坏；备份失效无法恢复。</w:t>
      </w:r>
    </w:p>
    <w:p w14:paraId="57E983E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人员风险：权限滥用造成数据泄露；操作失误导致配置错误；离职人员泄密。</w:t>
      </w:r>
    </w:p>
    <w:p w14:paraId="7CEEA7E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环境风险：机房未授权进入；中间件被盗。</w:t>
      </w:r>
    </w:p>
    <w:p w14:paraId="0C6F3DB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4650"/>
      <w:r>
        <w:rPr>
          <w:rFonts w:hint="default"/>
          <w:lang w:val="en-US" w:eastAsia="zh-CN"/>
        </w:rPr>
        <w:t>风险应对措施</w:t>
      </w:r>
      <w:bookmarkEnd w:id="11"/>
    </w:p>
    <w:p w14:paraId="7F56335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针对识别的高风险项，采取以下应对措施：</w:t>
      </w:r>
    </w:p>
    <w:p w14:paraId="1E2278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系统漏洞风险：定期进行漏洞扫描，及时安装安全补丁，高危补丁在7天内完成安装</w:t>
      </w:r>
    </w:p>
    <w:p w14:paraId="3CBB8B2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数据安全风险：每日全量备份并异地存储，每周验证备份可用性；高密级数据存储加密，传输使用HTTPS/SSH</w:t>
      </w:r>
    </w:p>
    <w:p w14:paraId="3A08E28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访问控制风险：遵循最小权限原则，账户申请需经审批，离职人员权限及时回收，每季度审计账户权限</w:t>
      </w:r>
    </w:p>
    <w:p w14:paraId="3D81C50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网络安全风险：配置防火墙最小开放原则，部署入侵检测系统，远程运维通过VPN接入</w:t>
      </w:r>
    </w:p>
    <w:p w14:paraId="68928D8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6664"/>
      <w:r>
        <w:rPr>
          <w:rFonts w:hint="default"/>
          <w:lang w:val="en-US" w:eastAsia="zh-CN"/>
        </w:rPr>
        <w:t>信息安全管控措施</w:t>
      </w:r>
      <w:bookmarkEnd w:id="12"/>
    </w:p>
    <w:p w14:paraId="3384F1C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6361"/>
      <w:r>
        <w:rPr>
          <w:rFonts w:hint="default"/>
          <w:lang w:val="en-US" w:eastAsia="zh-CN"/>
        </w:rPr>
        <w:t>访问控制管理</w:t>
      </w:r>
      <w:bookmarkEnd w:id="13"/>
    </w:p>
    <w:p w14:paraId="724A707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遵循“最小权限、按需分配、定期审计”的原则。所有账户申请需经运维部经理审批，离职人员权限在离职当日完成回收。密码策略要求密码长度不少于8位，包含大小写字母、数字和特殊字符，每90天强制更换。特权账户仅授权特定人员使用，所有操作需记录日志。质量部专员每季度对账户权限进行审计，及时清理过期账户。</w:t>
      </w:r>
    </w:p>
    <w:p w14:paraId="57DC20C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4791"/>
      <w:r>
        <w:rPr>
          <w:rFonts w:hint="default"/>
          <w:lang w:val="en-US" w:eastAsia="zh-CN"/>
        </w:rPr>
        <w:t>数据安全管理</w:t>
      </w:r>
      <w:bookmarkEnd w:id="14"/>
    </w:p>
    <w:p w14:paraId="5EC3AD5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管理的核心是确保数据的机密性、完整性和可用性。业务数据每日进行全量备份，保留周期为30天，同时执行异地备份以防本地灾难。每周验证备份数据的可用性，每季度组织数据恢复演练。高密级数据在存储和传输过程中均进行加密，使用HTTPS或SSH协议。数据销毁需经审批，物理介质销毁时留有记录。</w:t>
      </w:r>
    </w:p>
    <w:p w14:paraId="0B4B5A7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9113"/>
      <w:r>
        <w:rPr>
          <w:rFonts w:hint="default"/>
          <w:lang w:val="en-US" w:eastAsia="zh-CN"/>
        </w:rPr>
        <w:t>网络安全防护</w:t>
      </w:r>
      <w:bookmarkEnd w:id="15"/>
    </w:p>
    <w:p w14:paraId="30D33D3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网络防护措施包括：生产环境与办公环境进行网络隔离，防止非授权访问；防火墙采用最小开放原则，仅开放业务必要端口；远程运维通过VPN接入，并启用多因素认证；部署入侵检测系统，定期分析告警日志。</w:t>
      </w:r>
    </w:p>
    <w:p w14:paraId="66B5478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4853"/>
      <w:r>
        <w:rPr>
          <w:rFonts w:hint="default"/>
          <w:lang w:val="en-US" w:eastAsia="zh-CN"/>
        </w:rPr>
        <w:t>系统安全加固</w:t>
      </w:r>
      <w:bookmarkEnd w:id="16"/>
    </w:p>
    <w:p w14:paraId="13C5FF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方面，每月检查系统补丁状态，高危补丁在7天内完成安装。服务器部署防病毒软件，定期更新病毒库。系统日志保留90天，定期审计异常访问。遵循最小化安装原则，仅安装必要软件和服务，禁用默认账户，删除测试账户。</w:t>
      </w:r>
    </w:p>
    <w:p w14:paraId="3D3344C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007"/>
      <w:r>
        <w:rPr>
          <w:rFonts w:hint="default"/>
          <w:lang w:val="en-US" w:eastAsia="zh-CN"/>
        </w:rPr>
        <w:t>物理安全防护</w:t>
      </w:r>
      <w:bookmarkEnd w:id="17"/>
    </w:p>
    <w:p w14:paraId="4629A9D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包括：机房设置门禁系统，出入需登记，非授权人员进入需有专人陪同。服务器上锁固定，中间件安装于安全位置。机房配置温湿度监控、UPS电源和空调监控，确保环境稳定。设备报废前彻底清除数据，留有销毁记录。</w:t>
      </w:r>
    </w:p>
    <w:p w14:paraId="205DF4D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519"/>
      <w:r>
        <w:rPr>
          <w:rFonts w:hint="default"/>
          <w:lang w:val="en-US" w:eastAsia="zh-CN"/>
        </w:rPr>
        <w:t>人员安全管理</w:t>
      </w:r>
      <w:bookmarkEnd w:id="18"/>
    </w:p>
    <w:p w14:paraId="27A3D0F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。入职时签订保密协议，接受安全培训；在职期间定期参加安全培训，明确岗位安全职责；离职时回收所有权限，交接资产，签署离职保密承诺书。第三方人员需签署保密协议，按最小权限原则授权，定期评估其服务安全性。</w:t>
      </w:r>
    </w:p>
    <w:p w14:paraId="6DF0E1C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0777"/>
      <w:r>
        <w:rPr>
          <w:rFonts w:hint="default"/>
          <w:lang w:val="en-US" w:eastAsia="zh-CN"/>
        </w:rPr>
        <w:t>信息安全事件管理</w:t>
      </w:r>
      <w:bookmarkEnd w:id="19"/>
    </w:p>
    <w:p w14:paraId="3300629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9071"/>
      <w:r>
        <w:rPr>
          <w:rFonts w:hint="default"/>
          <w:lang w:val="en-US" w:eastAsia="zh-CN"/>
        </w:rPr>
        <w:t>事件分级</w:t>
      </w:r>
      <w:bookmarkEnd w:id="20"/>
    </w:p>
    <w:p w14:paraId="3AB0418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安全事件根据影响程度分为三个等级：</w:t>
      </w:r>
    </w:p>
    <w:p w14:paraId="6DEAACF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一级（重大）：数据泄露、系统被入侵、服务中断，需立即响应，15分钟内上报副总经理</w:t>
      </w:r>
    </w:p>
    <w:p w14:paraId="702F330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二级（严重）：权限滥用、病毒爆发、数据损坏，需30分钟内上报运维部经理并启动应急</w:t>
      </w:r>
    </w:p>
    <w:p w14:paraId="2E28947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三级（一般）：异常访问、配置错误、告警触发，需2小时内处理完成</w:t>
      </w:r>
    </w:p>
    <w:p w14:paraId="5295C72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4684"/>
      <w:r>
        <w:rPr>
          <w:rFonts w:hint="default"/>
          <w:lang w:val="en-US" w:eastAsia="zh-CN"/>
        </w:rPr>
        <w:t>事件响应流程</w:t>
      </w:r>
      <w:bookmarkEnd w:id="21"/>
    </w:p>
    <w:p w14:paraId="2A7908B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响应遵循以下流程：发现事件后立即上报；确认事件类型和影响范围；执行应急预案控制影响；恢复系统并验证安全性；事后分析原因，制定改进措施。所有事件处理过程需完整记录，作为后续改进的输入。</w:t>
      </w:r>
    </w:p>
    <w:p w14:paraId="03C70A2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3946"/>
      <w:r>
        <w:rPr>
          <w:rFonts w:hint="default"/>
          <w:lang w:val="en-US" w:eastAsia="zh-CN"/>
        </w:rPr>
        <w:t>信息安全培训与意识</w:t>
      </w:r>
      <w:bookmarkEnd w:id="22"/>
    </w:p>
    <w:p w14:paraId="2752EE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为提升项目人员的安全意识和操作技能，定期组织安全培训：</w:t>
      </w:r>
    </w:p>
    <w:p w14:paraId="61FC20F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入职培训：新员工入职时接受信息安全政策培训，了解基本安全要求</w:t>
      </w:r>
    </w:p>
    <w:p w14:paraId="4508A05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安全操作培训：每半年组织运维人员学习安全操作规范，包括数据保护、权限管理等内容</w:t>
      </w:r>
    </w:p>
    <w:p w14:paraId="3BC1EA7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应急响应演练：每年组织一次应急响应实战演练，验证应急预案有效性</w:t>
      </w:r>
    </w:p>
    <w:p w14:paraId="0933F53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社会工程防范：每年开展社会工程防范培训，提升人员对钓鱼邮件、电话诈骗等攻击的识别能力</w:t>
      </w:r>
    </w:p>
    <w:p w14:paraId="1C3A521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3627"/>
      <w:r>
        <w:rPr>
          <w:rFonts w:hint="default"/>
          <w:lang w:val="en-US" w:eastAsia="zh-CN"/>
        </w:rPr>
        <w:t>信息安全检查与审计</w:t>
      </w:r>
      <w:bookmarkEnd w:id="23"/>
    </w:p>
    <w:p w14:paraId="6896DA5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通过多层次检查机制确保安全措施有效执行：</w:t>
      </w:r>
    </w:p>
    <w:p w14:paraId="0BA29AF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日常检查：每日检查备份状态、日志异常和系统告警</w:t>
      </w:r>
    </w:p>
    <w:p w14:paraId="37C785F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周度检查：每周检查账户权限、系统补丁、病毒库更新情况</w:t>
      </w:r>
    </w:p>
    <w:p w14:paraId="5A0F7AF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月度审计：每月审计访问日志和权限变更记录</w:t>
      </w:r>
    </w:p>
    <w:p w14:paraId="0A17348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季度检查：每季度进行漏洞扫描和安全配置检查</w:t>
      </w:r>
    </w:p>
    <w:p w14:paraId="30787E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年度评估：每年组织风险评估和安全体系评估</w:t>
      </w:r>
    </w:p>
    <w:p w14:paraId="69F49DA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检查发现的问题纳入整改跟踪，确保闭环管理。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933BD37"/>
    <w:multiLevelType w:val="singleLevel"/>
    <w:tmpl w:val="1933BD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988672"/>
    <w:multiLevelType w:val="singleLevel"/>
    <w:tmpl w:val="319886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9B4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90</Words>
  <Characters>146</Characters>
  <Lines>0</Lines>
  <Paragraphs>0</Paragraphs>
  <TotalTime>1</TotalTime>
  <ScaleCrop>false</ScaleCrop>
  <LinksUpToDate>false</LinksUpToDate>
  <CharactersWithSpaces>146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2026-09-09T12:39:57Z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