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6C092">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000AAC2B">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国泰新点大OA系统运维服务项目</w:t>
      </w:r>
      <w:r>
        <w:rPr>
          <w:rFonts w:hint="eastAsia"/>
          <w:lang w:val="en-US" w:eastAsia="zh-CN"/>
        </w:rPr>
        <w:br w:type="textWrapping"/>
      </w:r>
      <w:bookmarkStart w:id="32" w:name="_GoBack"/>
      <w:bookmarkEnd w:id="32"/>
      <w:r>
        <w:rPr>
          <w:rFonts w:hint="eastAsia"/>
          <w:lang w:val="en-US" w:eastAsia="zh-CN"/>
        </w:rPr>
        <w:t>实施计划</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436FC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42CF29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6239613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SFKJ-ITSS-0903</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25227D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23FAEB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5DD31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885B2B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A72E64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汪锦坤</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8D1509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190542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1B93C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B24C58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430453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3BE472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37EE14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223E6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AB7774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D2BF9A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87A67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7C69CA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21C64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06FB510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3D45A6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33C7D40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42A59DE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14:paraId="5815BC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2A022AB9">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15EBF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5F079D2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AB674A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CE1380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2B7D30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09E471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20299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6F8E80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146BCA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B010B4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916DD1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77959F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1CE4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E1A8A2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B19BFF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078455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844DD6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E4A9F9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6DEA8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121DEE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F6DFE9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57D1FC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EA4EB8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D05BA6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19ADF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5B3138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0BF85C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7F2FC0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268BC6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361662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CB0E0A3">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7AB5E58F">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2B9FFD35">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_Toc19908 </w:instrText>
          </w:r>
          <w:r>
            <w:fldChar w:fldCharType="separate"/>
          </w:r>
          <w:r>
            <w:rPr>
              <w:rFonts w:hint="default"/>
            </w:rPr>
            <w:t xml:space="preserve">1. </w:t>
          </w:r>
          <w:r>
            <w:t>计划概述</w:t>
          </w:r>
          <w:r>
            <w:tab/>
          </w:r>
          <w:r>
            <w:fldChar w:fldCharType="begin"/>
          </w:r>
          <w:r>
            <w:instrText xml:space="preserve"> PAGEREF _Toc19908 \h </w:instrText>
          </w:r>
          <w:r>
            <w:fldChar w:fldCharType="separate"/>
          </w:r>
          <w:r>
            <w:t>4</w:t>
          </w:r>
          <w:r>
            <w:fldChar w:fldCharType="end"/>
          </w:r>
          <w:r>
            <w:fldChar w:fldCharType="end"/>
          </w:r>
        </w:p>
        <w:p w14:paraId="368D1943">
          <w:pPr>
            <w:pStyle w:val="18"/>
            <w:tabs>
              <w:tab w:val="right" w:leader="dot" w:pos="8306"/>
            </w:tabs>
          </w:pPr>
          <w:r>
            <w:fldChar w:fldCharType="begin"/>
          </w:r>
          <w:r>
            <w:instrText xml:space="preserve"> HYPERLINK \l _Toc9050 </w:instrText>
          </w:r>
          <w:r>
            <w:fldChar w:fldCharType="separate"/>
          </w:r>
          <w:r>
            <w:rPr>
              <w:rFonts w:hint="default"/>
            </w:rPr>
            <w:t xml:space="preserve">1.1. </w:t>
          </w:r>
          <w:r>
            <w:t>计划基本信息</w:t>
          </w:r>
          <w:r>
            <w:tab/>
          </w:r>
          <w:r>
            <w:fldChar w:fldCharType="begin"/>
          </w:r>
          <w:r>
            <w:instrText xml:space="preserve"> PAGEREF _Toc9050 \h </w:instrText>
          </w:r>
          <w:r>
            <w:fldChar w:fldCharType="separate"/>
          </w:r>
          <w:r>
            <w:t>4</w:t>
          </w:r>
          <w:r>
            <w:fldChar w:fldCharType="end"/>
          </w:r>
          <w:r>
            <w:fldChar w:fldCharType="end"/>
          </w:r>
        </w:p>
        <w:p w14:paraId="0A0A48E1">
          <w:pPr>
            <w:pStyle w:val="18"/>
            <w:tabs>
              <w:tab w:val="right" w:leader="dot" w:pos="8306"/>
            </w:tabs>
          </w:pPr>
          <w:r>
            <w:fldChar w:fldCharType="begin"/>
          </w:r>
          <w:r>
            <w:instrText xml:space="preserve"> HYPERLINK \l _Toc12553 </w:instrText>
          </w:r>
          <w:r>
            <w:fldChar w:fldCharType="separate"/>
          </w:r>
          <w:r>
            <w:rPr>
              <w:rFonts w:hint="default"/>
            </w:rPr>
            <w:t xml:space="preserve">1.2. </w:t>
          </w:r>
          <w:r>
            <w:rPr>
              <w:rFonts w:hint="eastAsia"/>
              <w:lang w:val="en-US" w:eastAsia="zh-CN"/>
            </w:rPr>
            <w:t>年度工作目标</w:t>
          </w:r>
          <w:r>
            <w:tab/>
          </w:r>
          <w:r>
            <w:fldChar w:fldCharType="begin"/>
          </w:r>
          <w:r>
            <w:instrText xml:space="preserve"> PAGEREF _Toc12553 \h </w:instrText>
          </w:r>
          <w:r>
            <w:fldChar w:fldCharType="separate"/>
          </w:r>
          <w:r>
            <w:t>4</w:t>
          </w:r>
          <w:r>
            <w:fldChar w:fldCharType="end"/>
          </w:r>
          <w:r>
            <w:fldChar w:fldCharType="end"/>
          </w:r>
        </w:p>
        <w:p w14:paraId="7D6B29C6">
          <w:pPr>
            <w:pStyle w:val="18"/>
            <w:tabs>
              <w:tab w:val="right" w:leader="dot" w:pos="8306"/>
            </w:tabs>
          </w:pPr>
          <w:r>
            <w:fldChar w:fldCharType="begin"/>
          </w:r>
          <w:r>
            <w:instrText xml:space="preserve"> HYPERLINK \l _Toc16083 </w:instrText>
          </w:r>
          <w:r>
            <w:fldChar w:fldCharType="separate"/>
          </w:r>
          <w:r>
            <w:rPr>
              <w:rFonts w:hint="default"/>
            </w:rPr>
            <w:t xml:space="preserve">1.3. </w:t>
          </w:r>
          <w:r>
            <w:t>实施原则</w:t>
          </w:r>
          <w:r>
            <w:tab/>
          </w:r>
          <w:r>
            <w:fldChar w:fldCharType="begin"/>
          </w:r>
          <w:r>
            <w:instrText xml:space="preserve"> PAGEREF _Toc16083 \h </w:instrText>
          </w:r>
          <w:r>
            <w:fldChar w:fldCharType="separate"/>
          </w:r>
          <w:r>
            <w:t>5</w:t>
          </w:r>
          <w:r>
            <w:fldChar w:fldCharType="end"/>
          </w:r>
          <w:r>
            <w:fldChar w:fldCharType="end"/>
          </w:r>
        </w:p>
        <w:p w14:paraId="4EEDAD4A">
          <w:pPr>
            <w:pStyle w:val="16"/>
            <w:tabs>
              <w:tab w:val="right" w:leader="dot" w:pos="8306"/>
            </w:tabs>
          </w:pPr>
          <w:r>
            <w:fldChar w:fldCharType="begin"/>
          </w:r>
          <w:r>
            <w:instrText xml:space="preserve"> HYPERLINK \l _Toc2655 </w:instrText>
          </w:r>
          <w:r>
            <w:fldChar w:fldCharType="separate"/>
          </w:r>
          <w:r>
            <w:rPr>
              <w:rFonts w:hint="default"/>
              <w:lang w:val="en-US" w:eastAsia="zh-CN"/>
            </w:rPr>
            <w:t>2. 年度工作阶段划分</w:t>
          </w:r>
          <w:r>
            <w:tab/>
          </w:r>
          <w:r>
            <w:fldChar w:fldCharType="begin"/>
          </w:r>
          <w:r>
            <w:instrText xml:space="preserve"> PAGEREF _Toc2655 \h </w:instrText>
          </w:r>
          <w:r>
            <w:fldChar w:fldCharType="separate"/>
          </w:r>
          <w:r>
            <w:t>5</w:t>
          </w:r>
          <w:r>
            <w:fldChar w:fldCharType="end"/>
          </w:r>
          <w:r>
            <w:fldChar w:fldCharType="end"/>
          </w:r>
        </w:p>
        <w:p w14:paraId="0E57E4AA">
          <w:pPr>
            <w:pStyle w:val="16"/>
            <w:tabs>
              <w:tab w:val="right" w:leader="dot" w:pos="8306"/>
            </w:tabs>
          </w:pPr>
          <w:r>
            <w:fldChar w:fldCharType="begin"/>
          </w:r>
          <w:r>
            <w:instrText xml:space="preserve"> HYPERLINK \l _Toc15537 </w:instrText>
          </w:r>
          <w:r>
            <w:fldChar w:fldCharType="separate"/>
          </w:r>
          <w:r>
            <w:rPr>
              <w:rFonts w:hint="default"/>
              <w:lang w:val="en-US" w:eastAsia="zh-CN"/>
            </w:rPr>
            <w:t>3. 年度详细工作计划</w:t>
          </w:r>
          <w:r>
            <w:tab/>
          </w:r>
          <w:r>
            <w:fldChar w:fldCharType="begin"/>
          </w:r>
          <w:r>
            <w:instrText xml:space="preserve"> PAGEREF _Toc15537 \h </w:instrText>
          </w:r>
          <w:r>
            <w:fldChar w:fldCharType="separate"/>
          </w:r>
          <w:r>
            <w:t>6</w:t>
          </w:r>
          <w:r>
            <w:fldChar w:fldCharType="end"/>
          </w:r>
          <w:r>
            <w:fldChar w:fldCharType="end"/>
          </w:r>
        </w:p>
        <w:p w14:paraId="5746F284">
          <w:pPr>
            <w:pStyle w:val="18"/>
            <w:tabs>
              <w:tab w:val="right" w:leader="dot" w:pos="8306"/>
            </w:tabs>
          </w:pPr>
          <w:r>
            <w:fldChar w:fldCharType="begin"/>
          </w:r>
          <w:r>
            <w:instrText xml:space="preserve"> HYPERLINK \l _Toc19404 </w:instrText>
          </w:r>
          <w:r>
            <w:fldChar w:fldCharType="separate"/>
          </w:r>
          <w:r>
            <w:rPr>
              <w:rFonts w:hint="default"/>
              <w:lang w:val="en-US" w:eastAsia="zh-CN"/>
            </w:rPr>
            <w:t>3.1. 第一阶段：项目启动（第1-2周）</w:t>
          </w:r>
          <w:r>
            <w:tab/>
          </w:r>
          <w:r>
            <w:fldChar w:fldCharType="begin"/>
          </w:r>
          <w:r>
            <w:instrText xml:space="preserve"> PAGEREF _Toc19404 \h </w:instrText>
          </w:r>
          <w:r>
            <w:fldChar w:fldCharType="separate"/>
          </w:r>
          <w:r>
            <w:t>6</w:t>
          </w:r>
          <w:r>
            <w:fldChar w:fldCharType="end"/>
          </w:r>
          <w:r>
            <w:fldChar w:fldCharType="end"/>
          </w:r>
        </w:p>
        <w:p w14:paraId="7A4744DC">
          <w:pPr>
            <w:pStyle w:val="18"/>
            <w:tabs>
              <w:tab w:val="right" w:leader="dot" w:pos="8306"/>
            </w:tabs>
          </w:pPr>
          <w:r>
            <w:fldChar w:fldCharType="begin"/>
          </w:r>
          <w:r>
            <w:instrText xml:space="preserve"> HYPERLINK \l _Toc15731 </w:instrText>
          </w:r>
          <w:r>
            <w:fldChar w:fldCharType="separate"/>
          </w:r>
          <w:r>
            <w:rPr>
              <w:rFonts w:hint="default"/>
              <w:lang w:val="en-US" w:eastAsia="zh-CN"/>
            </w:rPr>
            <w:t>3.2. 第二阶段：需求确认（第3-4周）</w:t>
          </w:r>
          <w:r>
            <w:tab/>
          </w:r>
          <w:r>
            <w:fldChar w:fldCharType="begin"/>
          </w:r>
          <w:r>
            <w:instrText xml:space="preserve"> PAGEREF _Toc15731 \h </w:instrText>
          </w:r>
          <w:r>
            <w:fldChar w:fldCharType="separate"/>
          </w:r>
          <w:r>
            <w:t>6</w:t>
          </w:r>
          <w:r>
            <w:fldChar w:fldCharType="end"/>
          </w:r>
          <w:r>
            <w:fldChar w:fldCharType="end"/>
          </w:r>
        </w:p>
        <w:p w14:paraId="6194CF9F">
          <w:pPr>
            <w:pStyle w:val="18"/>
            <w:tabs>
              <w:tab w:val="right" w:leader="dot" w:pos="8306"/>
            </w:tabs>
          </w:pPr>
          <w:r>
            <w:fldChar w:fldCharType="begin"/>
          </w:r>
          <w:r>
            <w:instrText xml:space="preserve"> HYPERLINK \l _Toc6150 </w:instrText>
          </w:r>
          <w:r>
            <w:fldChar w:fldCharType="separate"/>
          </w:r>
          <w:r>
            <w:rPr>
              <w:rFonts w:hint="default"/>
              <w:lang w:val="en-US" w:eastAsia="zh-CN"/>
            </w:rPr>
            <w:t>3.3. 第三阶段：系统部署（第5-8周）</w:t>
          </w:r>
          <w:r>
            <w:tab/>
          </w:r>
          <w:r>
            <w:fldChar w:fldCharType="begin"/>
          </w:r>
          <w:r>
            <w:instrText xml:space="preserve"> PAGEREF _Toc6150 \h </w:instrText>
          </w:r>
          <w:r>
            <w:fldChar w:fldCharType="separate"/>
          </w:r>
          <w:r>
            <w:t>6</w:t>
          </w:r>
          <w:r>
            <w:fldChar w:fldCharType="end"/>
          </w:r>
          <w:r>
            <w:fldChar w:fldCharType="end"/>
          </w:r>
        </w:p>
        <w:p w14:paraId="3F6DD89E">
          <w:pPr>
            <w:pStyle w:val="18"/>
            <w:tabs>
              <w:tab w:val="right" w:leader="dot" w:pos="8306"/>
            </w:tabs>
          </w:pPr>
          <w:r>
            <w:fldChar w:fldCharType="begin"/>
          </w:r>
          <w:r>
            <w:instrText xml:space="preserve"> HYPERLINK \l _Toc5223 </w:instrText>
          </w:r>
          <w:r>
            <w:fldChar w:fldCharType="separate"/>
          </w:r>
          <w:r>
            <w:rPr>
              <w:rFonts w:hint="default"/>
              <w:lang w:val="en-US" w:eastAsia="zh-CN"/>
            </w:rPr>
            <w:t>3.4. 第四阶段：系统培训（第9-10周）</w:t>
          </w:r>
          <w:r>
            <w:tab/>
          </w:r>
          <w:r>
            <w:fldChar w:fldCharType="begin"/>
          </w:r>
          <w:r>
            <w:instrText xml:space="preserve"> PAGEREF _Toc5223 \h </w:instrText>
          </w:r>
          <w:r>
            <w:fldChar w:fldCharType="separate"/>
          </w:r>
          <w:r>
            <w:t>7</w:t>
          </w:r>
          <w:r>
            <w:fldChar w:fldCharType="end"/>
          </w:r>
          <w:r>
            <w:fldChar w:fldCharType="end"/>
          </w:r>
        </w:p>
        <w:p w14:paraId="66E2ECD4">
          <w:pPr>
            <w:pStyle w:val="18"/>
            <w:tabs>
              <w:tab w:val="right" w:leader="dot" w:pos="8306"/>
            </w:tabs>
          </w:pPr>
          <w:r>
            <w:fldChar w:fldCharType="begin"/>
          </w:r>
          <w:r>
            <w:instrText xml:space="preserve"> HYPERLINK \l _Toc27363 </w:instrText>
          </w:r>
          <w:r>
            <w:fldChar w:fldCharType="separate"/>
          </w:r>
          <w:r>
            <w:rPr>
              <w:rFonts w:hint="default"/>
              <w:lang w:val="en-US" w:eastAsia="zh-CN"/>
            </w:rPr>
            <w:t>3.5. 第五阶段：试运行（第11-14周）</w:t>
          </w:r>
          <w:r>
            <w:tab/>
          </w:r>
          <w:r>
            <w:fldChar w:fldCharType="begin"/>
          </w:r>
          <w:r>
            <w:instrText xml:space="preserve"> PAGEREF _Toc27363 \h </w:instrText>
          </w:r>
          <w:r>
            <w:fldChar w:fldCharType="separate"/>
          </w:r>
          <w:r>
            <w:t>7</w:t>
          </w:r>
          <w:r>
            <w:fldChar w:fldCharType="end"/>
          </w:r>
          <w:r>
            <w:fldChar w:fldCharType="end"/>
          </w:r>
        </w:p>
        <w:p w14:paraId="678EBCAC">
          <w:pPr>
            <w:pStyle w:val="18"/>
            <w:tabs>
              <w:tab w:val="right" w:leader="dot" w:pos="8306"/>
            </w:tabs>
          </w:pPr>
          <w:r>
            <w:fldChar w:fldCharType="begin"/>
          </w:r>
          <w:r>
            <w:instrText xml:space="preserve"> HYPERLINK \l _Toc29893 </w:instrText>
          </w:r>
          <w:r>
            <w:fldChar w:fldCharType="separate"/>
          </w:r>
          <w:r>
            <w:rPr>
              <w:rFonts w:hint="default"/>
              <w:lang w:val="en-US" w:eastAsia="zh-CN"/>
            </w:rPr>
            <w:t>3.6. 第六阶段：正式运维（第15-52周）</w:t>
          </w:r>
          <w:r>
            <w:tab/>
          </w:r>
          <w:r>
            <w:fldChar w:fldCharType="begin"/>
          </w:r>
          <w:r>
            <w:instrText xml:space="preserve"> PAGEREF _Toc29893 \h </w:instrText>
          </w:r>
          <w:r>
            <w:fldChar w:fldCharType="separate"/>
          </w:r>
          <w:r>
            <w:t>7</w:t>
          </w:r>
          <w:r>
            <w:fldChar w:fldCharType="end"/>
          </w:r>
          <w:r>
            <w:fldChar w:fldCharType="end"/>
          </w:r>
        </w:p>
        <w:p w14:paraId="24396E2D">
          <w:pPr>
            <w:pStyle w:val="16"/>
            <w:tabs>
              <w:tab w:val="right" w:leader="dot" w:pos="8306"/>
            </w:tabs>
          </w:pPr>
          <w:r>
            <w:fldChar w:fldCharType="begin"/>
          </w:r>
          <w:r>
            <w:instrText xml:space="preserve"> HYPERLINK \l _Toc7824 </w:instrText>
          </w:r>
          <w:r>
            <w:fldChar w:fldCharType="separate"/>
          </w:r>
          <w:r>
            <w:rPr>
              <w:rFonts w:hint="default"/>
              <w:lang w:val="en-US" w:eastAsia="zh-CN"/>
            </w:rPr>
            <w:t>4. 年度资源安排</w:t>
          </w:r>
          <w:r>
            <w:tab/>
          </w:r>
          <w:r>
            <w:fldChar w:fldCharType="begin"/>
          </w:r>
          <w:r>
            <w:instrText xml:space="preserve"> PAGEREF _Toc7824 \h </w:instrText>
          </w:r>
          <w:r>
            <w:fldChar w:fldCharType="separate"/>
          </w:r>
          <w:r>
            <w:t>8</w:t>
          </w:r>
          <w:r>
            <w:fldChar w:fldCharType="end"/>
          </w:r>
          <w:r>
            <w:fldChar w:fldCharType="end"/>
          </w:r>
        </w:p>
        <w:p w14:paraId="706EC907">
          <w:pPr>
            <w:pStyle w:val="18"/>
            <w:tabs>
              <w:tab w:val="right" w:leader="dot" w:pos="8306"/>
            </w:tabs>
          </w:pPr>
          <w:r>
            <w:fldChar w:fldCharType="begin"/>
          </w:r>
          <w:r>
            <w:instrText xml:space="preserve"> HYPERLINK \l _Toc15501 </w:instrText>
          </w:r>
          <w:r>
            <w:fldChar w:fldCharType="separate"/>
          </w:r>
          <w:r>
            <w:rPr>
              <w:rFonts w:hint="default" w:ascii="Segoe UI" w:hAnsi="Segoe UI" w:eastAsia="Segoe UI" w:cs="Segoe UI"/>
              <w:i w:val="0"/>
              <w:iCs w:val="0"/>
              <w:caps w:val="0"/>
              <w:spacing w:val="0"/>
              <w:szCs w:val="24"/>
              <w:shd w:val="clear" w:color="auto" w:fill="FFFFFF"/>
              <w:lang w:val="en-US" w:eastAsia="zh-CN"/>
            </w:rPr>
            <w:t>4.1. 人员资源</w:t>
          </w:r>
          <w:r>
            <w:tab/>
          </w:r>
          <w:r>
            <w:fldChar w:fldCharType="begin"/>
          </w:r>
          <w:r>
            <w:instrText xml:space="preserve"> PAGEREF _Toc15501 \h </w:instrText>
          </w:r>
          <w:r>
            <w:fldChar w:fldCharType="separate"/>
          </w:r>
          <w:r>
            <w:t>8</w:t>
          </w:r>
          <w:r>
            <w:fldChar w:fldCharType="end"/>
          </w:r>
          <w:r>
            <w:fldChar w:fldCharType="end"/>
          </w:r>
        </w:p>
        <w:p w14:paraId="58D72FE8">
          <w:pPr>
            <w:pStyle w:val="18"/>
            <w:tabs>
              <w:tab w:val="right" w:leader="dot" w:pos="8306"/>
            </w:tabs>
          </w:pPr>
          <w:r>
            <w:fldChar w:fldCharType="begin"/>
          </w:r>
          <w:r>
            <w:instrText xml:space="preserve"> HYPERLINK \l _Toc31595 </w:instrText>
          </w:r>
          <w:r>
            <w:fldChar w:fldCharType="separate"/>
          </w:r>
          <w:r>
            <w:rPr>
              <w:rFonts w:hint="default" w:ascii="Segoe UI" w:hAnsi="Segoe UI" w:eastAsia="Segoe UI" w:cs="Segoe UI"/>
              <w:i w:val="0"/>
              <w:iCs w:val="0"/>
              <w:caps w:val="0"/>
              <w:spacing w:val="0"/>
              <w:szCs w:val="24"/>
              <w:shd w:val="clear" w:color="auto" w:fill="FFFFFF"/>
              <w:lang w:val="en-US" w:eastAsia="zh-CN"/>
            </w:rPr>
            <w:t>4.2. 硬件资源</w:t>
          </w:r>
          <w:r>
            <w:tab/>
          </w:r>
          <w:r>
            <w:fldChar w:fldCharType="begin"/>
          </w:r>
          <w:r>
            <w:instrText xml:space="preserve"> PAGEREF _Toc31595 \h </w:instrText>
          </w:r>
          <w:r>
            <w:fldChar w:fldCharType="separate"/>
          </w:r>
          <w:r>
            <w:t>8</w:t>
          </w:r>
          <w:r>
            <w:fldChar w:fldCharType="end"/>
          </w:r>
          <w:r>
            <w:fldChar w:fldCharType="end"/>
          </w:r>
        </w:p>
        <w:p w14:paraId="2DFDC82F">
          <w:pPr>
            <w:pStyle w:val="18"/>
            <w:tabs>
              <w:tab w:val="right" w:leader="dot" w:pos="8306"/>
            </w:tabs>
          </w:pPr>
          <w:r>
            <w:fldChar w:fldCharType="begin"/>
          </w:r>
          <w:r>
            <w:instrText xml:space="preserve"> HYPERLINK \l _Toc29566 </w:instrText>
          </w:r>
          <w:r>
            <w:fldChar w:fldCharType="separate"/>
          </w:r>
          <w:r>
            <w:rPr>
              <w:rFonts w:hint="default" w:ascii="Segoe UI" w:hAnsi="Segoe UI" w:eastAsia="Segoe UI" w:cs="Segoe UI"/>
              <w:i w:val="0"/>
              <w:iCs w:val="0"/>
              <w:caps w:val="0"/>
              <w:spacing w:val="0"/>
              <w:szCs w:val="24"/>
              <w:shd w:val="clear" w:color="auto" w:fill="FFFFFF"/>
              <w:lang w:val="en-US" w:eastAsia="zh-CN"/>
            </w:rPr>
            <w:t>4.3. 软件资源</w:t>
          </w:r>
          <w:r>
            <w:tab/>
          </w:r>
          <w:r>
            <w:fldChar w:fldCharType="begin"/>
          </w:r>
          <w:r>
            <w:instrText xml:space="preserve"> PAGEREF _Toc29566 \h </w:instrText>
          </w:r>
          <w:r>
            <w:fldChar w:fldCharType="separate"/>
          </w:r>
          <w:r>
            <w:t>9</w:t>
          </w:r>
          <w:r>
            <w:fldChar w:fldCharType="end"/>
          </w:r>
          <w:r>
            <w:fldChar w:fldCharType="end"/>
          </w:r>
        </w:p>
        <w:p w14:paraId="3969E9C8">
          <w:pPr>
            <w:pStyle w:val="16"/>
            <w:tabs>
              <w:tab w:val="right" w:leader="dot" w:pos="8306"/>
            </w:tabs>
          </w:pPr>
          <w:r>
            <w:fldChar w:fldCharType="begin"/>
          </w:r>
          <w:r>
            <w:instrText xml:space="preserve"> HYPERLINK \l _Toc12203 </w:instrText>
          </w:r>
          <w:r>
            <w:fldChar w:fldCharType="separate"/>
          </w:r>
          <w:r>
            <w:rPr>
              <w:rFonts w:hint="default"/>
              <w:lang w:val="en-US" w:eastAsia="zh-CN"/>
            </w:rPr>
            <w:t>5. 年度里程碑节点</w:t>
          </w:r>
          <w:r>
            <w:tab/>
          </w:r>
          <w:r>
            <w:fldChar w:fldCharType="begin"/>
          </w:r>
          <w:r>
            <w:instrText xml:space="preserve"> PAGEREF _Toc12203 \h </w:instrText>
          </w:r>
          <w:r>
            <w:fldChar w:fldCharType="separate"/>
          </w:r>
          <w:r>
            <w:t>9</w:t>
          </w:r>
          <w:r>
            <w:fldChar w:fldCharType="end"/>
          </w:r>
          <w:r>
            <w:fldChar w:fldCharType="end"/>
          </w:r>
        </w:p>
        <w:p w14:paraId="26527F60">
          <w:pPr>
            <w:pStyle w:val="16"/>
            <w:tabs>
              <w:tab w:val="right" w:leader="dot" w:pos="8306"/>
            </w:tabs>
          </w:pPr>
          <w:r>
            <w:fldChar w:fldCharType="begin"/>
          </w:r>
          <w:r>
            <w:instrText xml:space="preserve"> HYPERLINK \l _Toc1697 </w:instrText>
          </w:r>
          <w:r>
            <w:fldChar w:fldCharType="separate"/>
          </w:r>
          <w:r>
            <w:rPr>
              <w:rFonts w:hint="default"/>
              <w:lang w:val="en-US" w:eastAsia="zh-CN"/>
            </w:rPr>
            <w:t>6. 年度风险与应对</w:t>
          </w:r>
          <w:r>
            <w:tab/>
          </w:r>
          <w:r>
            <w:fldChar w:fldCharType="begin"/>
          </w:r>
          <w:r>
            <w:instrText xml:space="preserve"> PAGEREF _Toc1697 \h </w:instrText>
          </w:r>
          <w:r>
            <w:fldChar w:fldCharType="separate"/>
          </w:r>
          <w:r>
            <w:t>9</w:t>
          </w:r>
          <w:r>
            <w:fldChar w:fldCharType="end"/>
          </w:r>
          <w:r>
            <w:fldChar w:fldCharType="end"/>
          </w:r>
        </w:p>
        <w:p w14:paraId="5C585D5A">
          <w:pPr>
            <w:pStyle w:val="16"/>
            <w:tabs>
              <w:tab w:val="right" w:leader="dot" w:pos="8306"/>
            </w:tabs>
          </w:pPr>
          <w:r>
            <w:fldChar w:fldCharType="begin"/>
          </w:r>
          <w:r>
            <w:instrText xml:space="preserve"> HYPERLINK \l _Toc13625 </w:instrText>
          </w:r>
          <w:r>
            <w:fldChar w:fldCharType="separate"/>
          </w:r>
          <w:r>
            <w:rPr>
              <w:rFonts w:hint="default"/>
              <w:lang w:val="en-US" w:eastAsia="zh-CN"/>
            </w:rPr>
            <w:t>7. 计划跟踪机制</w:t>
          </w:r>
          <w:r>
            <w:tab/>
          </w:r>
          <w:r>
            <w:fldChar w:fldCharType="begin"/>
          </w:r>
          <w:r>
            <w:instrText xml:space="preserve"> PAGEREF _Toc13625 \h </w:instrText>
          </w:r>
          <w:r>
            <w:fldChar w:fldCharType="separate"/>
          </w:r>
          <w:r>
            <w:t>10</w:t>
          </w:r>
          <w:r>
            <w:fldChar w:fldCharType="end"/>
          </w:r>
          <w:r>
            <w:fldChar w:fldCharType="end"/>
          </w:r>
        </w:p>
        <w:p w14:paraId="2490E8A6">
          <w:pPr>
            <w:pStyle w:val="18"/>
            <w:tabs>
              <w:tab w:val="right" w:leader="dot" w:pos="8306"/>
            </w:tabs>
          </w:pPr>
          <w:r>
            <w:fldChar w:fldCharType="begin"/>
          </w:r>
          <w:r>
            <w:instrText xml:space="preserve"> HYPERLINK \l _Toc19765 </w:instrText>
          </w:r>
          <w:r>
            <w:fldChar w:fldCharType="separate"/>
          </w:r>
          <w:r>
            <w:rPr>
              <w:rFonts w:hint="default"/>
              <w:lang w:val="en-US" w:eastAsia="zh-CN"/>
            </w:rPr>
            <w:t>7.1. 进度跟踪</w:t>
          </w:r>
          <w:r>
            <w:tab/>
          </w:r>
          <w:r>
            <w:fldChar w:fldCharType="begin"/>
          </w:r>
          <w:r>
            <w:instrText xml:space="preserve"> PAGEREF _Toc19765 \h </w:instrText>
          </w:r>
          <w:r>
            <w:fldChar w:fldCharType="separate"/>
          </w:r>
          <w:r>
            <w:t>10</w:t>
          </w:r>
          <w:r>
            <w:fldChar w:fldCharType="end"/>
          </w:r>
          <w:r>
            <w:fldChar w:fldCharType="end"/>
          </w:r>
        </w:p>
        <w:p w14:paraId="794C99D7">
          <w:pPr>
            <w:pStyle w:val="18"/>
            <w:tabs>
              <w:tab w:val="right" w:leader="dot" w:pos="8306"/>
            </w:tabs>
          </w:pPr>
          <w:r>
            <w:fldChar w:fldCharType="begin"/>
          </w:r>
          <w:r>
            <w:instrText xml:space="preserve"> HYPERLINK \l _Toc8041 </w:instrText>
          </w:r>
          <w:r>
            <w:fldChar w:fldCharType="separate"/>
          </w:r>
          <w:r>
            <w:rPr>
              <w:rFonts w:hint="default"/>
              <w:lang w:val="en-US" w:eastAsia="zh-CN"/>
            </w:rPr>
            <w:t>7.2. 问题跟踪</w:t>
          </w:r>
          <w:r>
            <w:tab/>
          </w:r>
          <w:r>
            <w:fldChar w:fldCharType="begin"/>
          </w:r>
          <w:r>
            <w:instrText xml:space="preserve"> PAGEREF _Toc8041 \h </w:instrText>
          </w:r>
          <w:r>
            <w:fldChar w:fldCharType="separate"/>
          </w:r>
          <w:r>
            <w:t>11</w:t>
          </w:r>
          <w:r>
            <w:fldChar w:fldCharType="end"/>
          </w:r>
          <w:r>
            <w:fldChar w:fldCharType="end"/>
          </w:r>
        </w:p>
        <w:p w14:paraId="583E7DF9">
          <w:pPr>
            <w:pStyle w:val="18"/>
            <w:tabs>
              <w:tab w:val="right" w:leader="dot" w:pos="8306"/>
            </w:tabs>
          </w:pPr>
          <w:r>
            <w:fldChar w:fldCharType="begin"/>
          </w:r>
          <w:r>
            <w:instrText xml:space="preserve"> HYPERLINK \l _Toc2565 </w:instrText>
          </w:r>
          <w:r>
            <w:fldChar w:fldCharType="separate"/>
          </w:r>
          <w:r>
            <w:rPr>
              <w:rFonts w:hint="default"/>
              <w:lang w:val="en-US" w:eastAsia="zh-CN"/>
            </w:rPr>
            <w:t>7.3. 变更管理</w:t>
          </w:r>
          <w:r>
            <w:tab/>
          </w:r>
          <w:r>
            <w:fldChar w:fldCharType="begin"/>
          </w:r>
          <w:r>
            <w:instrText xml:space="preserve"> PAGEREF _Toc2565 \h </w:instrText>
          </w:r>
          <w:r>
            <w:fldChar w:fldCharType="separate"/>
          </w:r>
          <w:r>
            <w:t>11</w:t>
          </w:r>
          <w:r>
            <w:fldChar w:fldCharType="end"/>
          </w:r>
          <w:r>
            <w:fldChar w:fldCharType="end"/>
          </w:r>
        </w:p>
        <w:p w14:paraId="53F0879D">
          <w:pPr>
            <w:pStyle w:val="18"/>
            <w:tabs>
              <w:tab w:val="right" w:leader="dot" w:pos="8306"/>
            </w:tabs>
          </w:pPr>
          <w:r>
            <w:fldChar w:fldCharType="begin"/>
          </w:r>
          <w:r>
            <w:instrText xml:space="preserve"> HYPERLINK \l _Toc22393 </w:instrText>
          </w:r>
          <w:r>
            <w:fldChar w:fldCharType="separate"/>
          </w:r>
          <w:r>
            <w:rPr>
              <w:rFonts w:hint="default"/>
              <w:lang w:val="en-US" w:eastAsia="zh-CN"/>
            </w:rPr>
            <w:t>7.4. 服务质量监控</w:t>
          </w:r>
          <w:r>
            <w:tab/>
          </w:r>
          <w:r>
            <w:fldChar w:fldCharType="begin"/>
          </w:r>
          <w:r>
            <w:instrText xml:space="preserve"> PAGEREF _Toc22393 \h </w:instrText>
          </w:r>
          <w:r>
            <w:fldChar w:fldCharType="separate"/>
          </w:r>
          <w:r>
            <w:t>11</w:t>
          </w:r>
          <w:r>
            <w:fldChar w:fldCharType="end"/>
          </w:r>
          <w:r>
            <w:fldChar w:fldCharType="end"/>
          </w:r>
        </w:p>
        <w:p w14:paraId="178D0A86">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74BC9774">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04CB9BB1">
      <w:pPr>
        <w:pStyle w:val="17"/>
        <w:tabs>
          <w:tab w:val="right" w:leader="dot" w:pos="8306"/>
        </w:tabs>
      </w:pPr>
      <w:r>
        <w:fldChar w:fldCharType="begin"/>
      </w:r>
      <w:r>
        <w:instrText xml:space="preserve">TOC \h \c "表"</w:instrText>
      </w:r>
      <w:r>
        <w:fldChar w:fldCharType="separate"/>
      </w:r>
      <w:r>
        <w:fldChar w:fldCharType="begin"/>
      </w:r>
      <w:r>
        <w:instrText xml:space="preserve"> HYPERLINK \l _Toc22382 </w:instrText>
      </w:r>
      <w:r>
        <w:fldChar w:fldCharType="separate"/>
      </w:r>
      <w:r>
        <w:rPr>
          <w:rFonts w:hint="eastAsia"/>
          <w:lang w:val="en-US" w:eastAsia="zh-CN"/>
        </w:rPr>
        <w:t xml:space="preserve">表 </w:t>
      </w:r>
      <w:r>
        <w:rPr>
          <w:rFonts w:hint="default"/>
          <w:lang w:val="en-US" w:eastAsia="zh-CN"/>
        </w:rPr>
        <w:t>1</w:t>
      </w:r>
      <w:r>
        <w:rPr>
          <w:rFonts w:hint="eastAsia"/>
          <w:lang w:val="en-US" w:eastAsia="zh-CN"/>
        </w:rPr>
        <w:t>-</w:t>
      </w:r>
      <w:r>
        <w:t xml:space="preserve">1 </w:t>
      </w:r>
      <w:r>
        <w:rPr>
          <w:rFonts w:hint="eastAsia"/>
          <w:lang w:val="en-US" w:eastAsia="zh-CN"/>
        </w:rPr>
        <w:t xml:space="preserve"> 项目基本信息表</w:t>
      </w:r>
      <w:r>
        <w:tab/>
      </w:r>
      <w:r>
        <w:fldChar w:fldCharType="begin"/>
      </w:r>
      <w:r>
        <w:instrText xml:space="preserve"> PAGEREF _Toc22382 \h </w:instrText>
      </w:r>
      <w:r>
        <w:fldChar w:fldCharType="separate"/>
      </w:r>
      <w:r>
        <w:t>4</w:t>
      </w:r>
      <w:r>
        <w:fldChar w:fldCharType="end"/>
      </w:r>
      <w:r>
        <w:fldChar w:fldCharType="end"/>
      </w:r>
    </w:p>
    <w:p w14:paraId="1DF4418D">
      <w:pPr>
        <w:pStyle w:val="17"/>
        <w:tabs>
          <w:tab w:val="right" w:leader="dot" w:pos="8306"/>
        </w:tabs>
      </w:pPr>
      <w:r>
        <w:fldChar w:fldCharType="begin"/>
      </w:r>
      <w:r>
        <w:instrText xml:space="preserve"> HYPERLINK \l _Toc12398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年度工作阶段划分表</w:t>
      </w:r>
      <w:r>
        <w:tab/>
      </w:r>
      <w:r>
        <w:fldChar w:fldCharType="begin"/>
      </w:r>
      <w:r>
        <w:instrText xml:space="preserve"> PAGEREF _Toc12398 \h </w:instrText>
      </w:r>
      <w:r>
        <w:fldChar w:fldCharType="separate"/>
      </w:r>
      <w:r>
        <w:t>5</w:t>
      </w:r>
      <w:r>
        <w:fldChar w:fldCharType="end"/>
      </w:r>
      <w:r>
        <w:fldChar w:fldCharType="end"/>
      </w:r>
    </w:p>
    <w:p w14:paraId="730801C3">
      <w:pPr>
        <w:pStyle w:val="17"/>
        <w:tabs>
          <w:tab w:val="right" w:leader="dot" w:pos="8306"/>
        </w:tabs>
      </w:pPr>
      <w:r>
        <w:fldChar w:fldCharType="begin"/>
      </w:r>
      <w:r>
        <w:instrText xml:space="preserve"> HYPERLINK \l _Toc12075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年度里程碑节点表</w:t>
      </w:r>
      <w:r>
        <w:tab/>
      </w:r>
      <w:r>
        <w:fldChar w:fldCharType="begin"/>
      </w:r>
      <w:r>
        <w:instrText xml:space="preserve"> PAGEREF _Toc12075 \h </w:instrText>
      </w:r>
      <w:r>
        <w:fldChar w:fldCharType="separate"/>
      </w:r>
      <w:r>
        <w:t>9</w:t>
      </w:r>
      <w:r>
        <w:fldChar w:fldCharType="end"/>
      </w:r>
      <w:r>
        <w:fldChar w:fldCharType="end"/>
      </w:r>
    </w:p>
    <w:p w14:paraId="4C9D71CF">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35D9A17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27AED58B">
      <w:pPr>
        <w:pStyle w:val="31"/>
        <w:bidi w:val="0"/>
      </w:pPr>
      <w:bookmarkStart w:id="1" w:name="_Toc19908"/>
      <w:bookmarkStart w:id="2" w:name="heading_2"/>
      <w:r>
        <w:t>计划概述</w:t>
      </w:r>
      <w:bookmarkEnd w:id="1"/>
      <w:bookmarkEnd w:id="2"/>
    </w:p>
    <w:p w14:paraId="2DE4698D">
      <w:pPr>
        <w:pStyle w:val="33"/>
        <w:bidi w:val="0"/>
      </w:pPr>
      <w:bookmarkStart w:id="3" w:name="heading_3"/>
      <w:bookmarkStart w:id="4" w:name="_Toc9050"/>
      <w:r>
        <w:t>计划基本信息</w:t>
      </w:r>
      <w:bookmarkEnd w:id="3"/>
      <w:bookmarkEnd w:id="4"/>
    </w:p>
    <w:p w14:paraId="47D2D634">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30342"/>
      <w:bookmarkStart w:id="6" w:name="_Toc1925"/>
      <w:bookmarkStart w:id="7" w:name="_Toc22382"/>
      <w:r>
        <w:rPr>
          <w:rFonts w:hint="eastAsia"/>
          <w:lang w:val="en-US" w:eastAsia="zh-CN"/>
        </w:rPr>
        <w:t xml:space="preserve"> 项目基本信息表</w:t>
      </w:r>
      <w:bookmarkEnd w:id="5"/>
      <w:bookmarkEnd w:id="6"/>
      <w:bookmarkEnd w:id="7"/>
    </w:p>
    <w:tbl>
      <w:tblPr>
        <w:tblStyle w:val="22"/>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898"/>
        <w:gridCol w:w="5382"/>
      </w:tblGrid>
      <w:tr w14:paraId="2A11B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898" w:type="dxa"/>
            <w:tcBorders>
              <w:top w:val="single" w:color="auto" w:sz="12" w:space="0"/>
              <w:left w:val="single" w:color="auto" w:sz="12" w:space="0"/>
              <w:bottom w:val="nil"/>
              <w:right w:val="nil"/>
            </w:tcBorders>
            <w:tcMar>
              <w:top w:w="60" w:type="dxa"/>
              <w:left w:w="120" w:type="dxa"/>
              <w:bottom w:w="30" w:type="dxa"/>
              <w:right w:w="120" w:type="dxa"/>
            </w:tcMar>
          </w:tcPr>
          <w:p w14:paraId="6CE6F80E">
            <w:pPr>
              <w:snapToGrid w:val="0"/>
              <w:spacing w:before="120" w:after="120" w:line="288" w:lineRule="auto"/>
              <w:ind w:left="0"/>
              <w:jc w:val="left"/>
            </w:pPr>
            <w:r>
              <w:rPr>
                <w:rFonts w:ascii="Arial" w:hAnsi="Arial" w:eastAsia="等线" w:cs="Arial"/>
                <w:sz w:val="22"/>
              </w:rPr>
              <w:t>项目</w:t>
            </w:r>
          </w:p>
        </w:tc>
        <w:tc>
          <w:tcPr>
            <w:tcW w:w="5382" w:type="dxa"/>
            <w:tcBorders>
              <w:top w:val="single" w:color="auto" w:sz="12" w:space="0"/>
              <w:left w:val="single" w:color="auto" w:sz="4" w:space="0"/>
              <w:bottom w:val="nil"/>
              <w:right w:val="single" w:color="auto" w:sz="12" w:space="0"/>
            </w:tcBorders>
            <w:tcMar>
              <w:top w:w="60" w:type="dxa"/>
              <w:left w:w="120" w:type="dxa"/>
              <w:bottom w:w="30" w:type="dxa"/>
              <w:right w:w="120" w:type="dxa"/>
            </w:tcMar>
          </w:tcPr>
          <w:p w14:paraId="15F6D30B">
            <w:pPr>
              <w:snapToGrid w:val="0"/>
              <w:spacing w:before="120" w:after="120" w:line="288" w:lineRule="auto"/>
              <w:ind w:left="0"/>
              <w:jc w:val="left"/>
            </w:pPr>
            <w:r>
              <w:rPr>
                <w:rFonts w:ascii="Arial" w:hAnsi="Arial" w:eastAsia="等线" w:cs="Arial"/>
                <w:sz w:val="22"/>
              </w:rPr>
              <w:t>内容</w:t>
            </w:r>
          </w:p>
        </w:tc>
      </w:tr>
      <w:tr w14:paraId="41BE7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898" w:type="dxa"/>
            <w:tcBorders>
              <w:top w:val="single" w:color="auto" w:sz="4" w:space="0"/>
              <w:left w:val="single" w:color="auto" w:sz="12" w:space="0"/>
              <w:bottom w:val="nil"/>
              <w:right w:val="nil"/>
            </w:tcBorders>
            <w:tcMar>
              <w:top w:w="60" w:type="dxa"/>
              <w:left w:w="120" w:type="dxa"/>
              <w:bottom w:w="30" w:type="dxa"/>
              <w:right w:w="120" w:type="dxa"/>
            </w:tcMar>
          </w:tcPr>
          <w:p w14:paraId="4042AC6C">
            <w:pPr>
              <w:snapToGrid w:val="0"/>
              <w:spacing w:before="120" w:after="120" w:line="288" w:lineRule="auto"/>
              <w:ind w:left="0"/>
              <w:jc w:val="left"/>
            </w:pPr>
            <w:r>
              <w:rPr>
                <w:rFonts w:ascii="Arial" w:hAnsi="Arial" w:eastAsia="等线" w:cs="Arial"/>
                <w:b/>
                <w:sz w:val="22"/>
              </w:rPr>
              <w:t>项目名称</w:t>
            </w:r>
          </w:p>
        </w:tc>
        <w:tc>
          <w:tcPr>
            <w:tcW w:w="5382" w:type="dxa"/>
            <w:tcBorders>
              <w:top w:val="single" w:color="auto" w:sz="4" w:space="0"/>
              <w:left w:val="single" w:color="auto" w:sz="4" w:space="0"/>
              <w:bottom w:val="nil"/>
              <w:right w:val="single" w:color="auto" w:sz="12" w:space="0"/>
            </w:tcBorders>
            <w:tcMar>
              <w:top w:w="60" w:type="dxa"/>
              <w:left w:w="120" w:type="dxa"/>
              <w:bottom w:w="30" w:type="dxa"/>
              <w:right w:w="120" w:type="dxa"/>
            </w:tcMar>
          </w:tcPr>
          <w:p w14:paraId="377DD4E5">
            <w:pPr>
              <w:snapToGrid w:val="0"/>
              <w:spacing w:before="120" w:after="120" w:line="288" w:lineRule="auto"/>
              <w:ind w:left="0"/>
              <w:jc w:val="left"/>
            </w:pPr>
            <w:r>
              <w:rPr>
                <w:rFonts w:ascii="Arial" w:hAnsi="Arial" w:eastAsia="等线" w:cs="Arial"/>
                <w:sz w:val="22"/>
              </w:rPr>
              <w:t>国泰新点大OA系统运维服务项目</w:t>
            </w:r>
          </w:p>
        </w:tc>
      </w:tr>
      <w:tr w14:paraId="5A2DC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898" w:type="dxa"/>
            <w:tcBorders>
              <w:top w:val="single" w:color="auto" w:sz="4" w:space="0"/>
              <w:left w:val="single" w:color="auto" w:sz="12" w:space="0"/>
              <w:bottom w:val="nil"/>
              <w:right w:val="nil"/>
            </w:tcBorders>
            <w:tcMar>
              <w:top w:w="60" w:type="dxa"/>
              <w:left w:w="120" w:type="dxa"/>
              <w:bottom w:w="30" w:type="dxa"/>
              <w:right w:w="120" w:type="dxa"/>
            </w:tcMar>
          </w:tcPr>
          <w:p w14:paraId="6BF8DAF5">
            <w:pPr>
              <w:snapToGrid w:val="0"/>
              <w:spacing w:before="120" w:after="120" w:line="288" w:lineRule="auto"/>
              <w:ind w:left="0"/>
              <w:jc w:val="left"/>
            </w:pPr>
            <w:r>
              <w:rPr>
                <w:rFonts w:ascii="Arial" w:hAnsi="Arial" w:eastAsia="等线" w:cs="Arial"/>
                <w:b/>
                <w:sz w:val="22"/>
              </w:rPr>
              <w:t>计划周期</w:t>
            </w:r>
          </w:p>
        </w:tc>
        <w:tc>
          <w:tcPr>
            <w:tcW w:w="5382" w:type="dxa"/>
            <w:tcBorders>
              <w:top w:val="single" w:color="auto" w:sz="4" w:space="0"/>
              <w:left w:val="single" w:color="auto" w:sz="4" w:space="0"/>
              <w:bottom w:val="nil"/>
              <w:right w:val="single" w:color="auto" w:sz="12" w:space="0"/>
            </w:tcBorders>
            <w:tcMar>
              <w:top w:w="60" w:type="dxa"/>
              <w:left w:w="120" w:type="dxa"/>
              <w:bottom w:w="30" w:type="dxa"/>
              <w:right w:w="120" w:type="dxa"/>
            </w:tcMar>
          </w:tcPr>
          <w:p w14:paraId="606A4FC4">
            <w:pPr>
              <w:snapToGrid w:val="0"/>
              <w:spacing w:before="120" w:after="120" w:line="288" w:lineRule="auto"/>
              <w:ind w:left="0"/>
              <w:jc w:val="left"/>
              <w:rPr>
                <w:rFonts w:hint="default" w:eastAsia="宋体"/>
                <w:lang w:val="en-US" w:eastAsia="zh-CN"/>
              </w:rPr>
            </w:pPr>
            <w:r>
              <w:rPr>
                <w:rFonts w:hint="eastAsia" w:eastAsia="等线" w:cs="Arial"/>
                <w:sz w:val="22"/>
                <w:lang w:val="en-US" w:eastAsia="zh-CN"/>
              </w:rPr>
              <w:t>1年（2026年1月1日至2026年12月31日）</w:t>
            </w:r>
          </w:p>
        </w:tc>
      </w:tr>
      <w:tr w14:paraId="356E2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898" w:type="dxa"/>
            <w:tcBorders>
              <w:top w:val="single" w:color="auto" w:sz="4" w:space="0"/>
              <w:left w:val="single" w:color="auto" w:sz="12" w:space="0"/>
              <w:bottom w:val="nil"/>
              <w:right w:val="nil"/>
            </w:tcBorders>
            <w:tcMar>
              <w:top w:w="60" w:type="dxa"/>
              <w:left w:w="120" w:type="dxa"/>
              <w:bottom w:w="30" w:type="dxa"/>
              <w:right w:w="120" w:type="dxa"/>
            </w:tcMar>
          </w:tcPr>
          <w:p w14:paraId="310F4B41">
            <w:pPr>
              <w:snapToGrid w:val="0"/>
              <w:spacing w:before="120" w:after="120" w:line="288" w:lineRule="auto"/>
              <w:ind w:left="0"/>
              <w:jc w:val="left"/>
            </w:pPr>
            <w:r>
              <w:rPr>
                <w:rFonts w:ascii="Arial" w:hAnsi="Arial" w:eastAsia="等线" w:cs="Arial"/>
                <w:b/>
                <w:sz w:val="22"/>
              </w:rPr>
              <w:t>计划开始日期</w:t>
            </w:r>
          </w:p>
        </w:tc>
        <w:tc>
          <w:tcPr>
            <w:tcW w:w="5382" w:type="dxa"/>
            <w:tcBorders>
              <w:top w:val="single" w:color="auto" w:sz="4" w:space="0"/>
              <w:left w:val="single" w:color="auto" w:sz="4" w:space="0"/>
              <w:bottom w:val="nil"/>
              <w:right w:val="single" w:color="auto" w:sz="12" w:space="0"/>
            </w:tcBorders>
            <w:tcMar>
              <w:top w:w="60" w:type="dxa"/>
              <w:left w:w="120" w:type="dxa"/>
              <w:bottom w:w="30" w:type="dxa"/>
              <w:right w:w="120" w:type="dxa"/>
            </w:tcMar>
          </w:tcPr>
          <w:p w14:paraId="0631C527">
            <w:pPr>
              <w:snapToGrid w:val="0"/>
              <w:spacing w:before="120" w:after="120" w:line="288" w:lineRule="auto"/>
              <w:ind w:left="0"/>
              <w:jc w:val="left"/>
            </w:pPr>
            <w:r>
              <w:rPr>
                <w:rFonts w:ascii="Arial" w:hAnsi="Arial" w:eastAsia="等线" w:cs="Arial"/>
                <w:sz w:val="22"/>
              </w:rPr>
              <w:t>2026年1月1日</w:t>
            </w:r>
          </w:p>
        </w:tc>
      </w:tr>
      <w:tr w14:paraId="52032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898" w:type="dxa"/>
            <w:tcBorders>
              <w:top w:val="single" w:color="auto" w:sz="4" w:space="0"/>
              <w:left w:val="single" w:color="auto" w:sz="12" w:space="0"/>
              <w:bottom w:val="single" w:color="auto" w:sz="12" w:space="0"/>
              <w:right w:val="nil"/>
            </w:tcBorders>
            <w:tcMar>
              <w:top w:w="60" w:type="dxa"/>
              <w:left w:w="120" w:type="dxa"/>
              <w:bottom w:w="30" w:type="dxa"/>
              <w:right w:w="120" w:type="dxa"/>
            </w:tcMar>
          </w:tcPr>
          <w:p w14:paraId="41D7795D">
            <w:pPr>
              <w:snapToGrid w:val="0"/>
              <w:spacing w:before="120" w:after="120" w:line="288" w:lineRule="auto"/>
              <w:ind w:left="0"/>
              <w:jc w:val="left"/>
            </w:pPr>
            <w:r>
              <w:rPr>
                <w:rFonts w:ascii="Arial" w:hAnsi="Arial" w:eastAsia="等线" w:cs="Arial"/>
                <w:b/>
                <w:sz w:val="22"/>
              </w:rPr>
              <w:t>计划负责人</w:t>
            </w:r>
          </w:p>
        </w:tc>
        <w:tc>
          <w:tcPr>
            <w:tcW w:w="538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tcPr>
          <w:p w14:paraId="7B40C528">
            <w:pPr>
              <w:snapToGrid w:val="0"/>
              <w:spacing w:before="120" w:after="120" w:line="288" w:lineRule="auto"/>
              <w:ind w:left="0"/>
              <w:jc w:val="left"/>
            </w:pPr>
            <w:r>
              <w:rPr>
                <w:rFonts w:ascii="Arial" w:hAnsi="Arial" w:eastAsia="等线" w:cs="Arial"/>
                <w:sz w:val="22"/>
              </w:rPr>
              <w:t>运维项目经理</w:t>
            </w:r>
          </w:p>
        </w:tc>
      </w:tr>
    </w:tbl>
    <w:p w14:paraId="3B9076B1">
      <w:pPr>
        <w:pStyle w:val="33"/>
        <w:bidi w:val="0"/>
      </w:pPr>
      <w:bookmarkStart w:id="8" w:name="_Toc12553"/>
      <w:bookmarkStart w:id="9" w:name="heading_4"/>
      <w:r>
        <w:rPr>
          <w:rFonts w:hint="eastAsia"/>
          <w:lang w:val="en-US" w:eastAsia="zh-CN"/>
        </w:rPr>
        <w:t>年度工作目标</w:t>
      </w:r>
      <w:bookmarkEnd w:id="8"/>
    </w:p>
    <w:p w14:paraId="6209BB17">
      <w:pPr>
        <w:pStyle w:val="32"/>
        <w:rPr>
          <w:rFonts w:hint="eastAsia"/>
        </w:rPr>
      </w:pPr>
      <w:r>
        <w:rPr>
          <w:rFonts w:hint="eastAsia"/>
        </w:rPr>
        <w:t>本年度工作围绕大OA系统数据库及中间件运维服务体系建立和稳定运行两大核心任务展开。项目启动后，通过现状调研、运维部署、人员培训、试运行等阶段，确保运维服务体系在合同生效后第14周内正式投入运行，全面覆盖合同约定的4套达梦数据库、7套东方通中间件运维服务需求。</w:t>
      </w:r>
    </w:p>
    <w:p w14:paraId="20FABE51">
      <w:pPr>
        <w:pStyle w:val="32"/>
        <w:rPr>
          <w:rFonts w:hint="eastAsia"/>
        </w:rPr>
      </w:pPr>
      <w:r>
        <w:rPr>
          <w:rFonts w:hint="eastAsia"/>
        </w:rPr>
        <w:t>运维服务体系上线后进入正式运维阶段，全年保障大OA系统可用性达到99.5%以上，全年计划内维护和计划外故障导致的停机时间总计不超过43.8小时。建立规范的运维服务体系，实现工作日10分钟内、非工作日30分钟内响应，现场支持48小时内到达。</w:t>
      </w:r>
    </w:p>
    <w:p w14:paraId="77B8BD1C">
      <w:pPr>
        <w:pStyle w:val="32"/>
        <w:rPr>
          <w:rFonts w:hint="eastAsia"/>
        </w:rPr>
      </w:pPr>
      <w:r>
        <w:rPr>
          <w:rFonts w:hint="eastAsia"/>
        </w:rPr>
        <w:t>人员培训方面，确保项目运维人员完成运维服务流程和应急响应培训，培训覆盖率达到100%，参训人员能够独立完成日常运维操作。同时建立完善的运维知识库，为后续运维提供技术支持。</w:t>
      </w:r>
    </w:p>
    <w:p w14:paraId="67E7B5FF">
      <w:pPr>
        <w:pStyle w:val="32"/>
      </w:pPr>
      <w:r>
        <w:rPr>
          <w:rFonts w:hint="eastAsia"/>
        </w:rPr>
        <w:t>服务质量方面，每季度开展客户满意度调查，全年平均满意度不低于90分。通过持续的服务改进，确保全年无重大服务中断事件，一级事件发生次数为0次，为客户提供稳定、可靠的系统运行保障。</w:t>
      </w:r>
    </w:p>
    <w:p w14:paraId="6D9F9677">
      <w:pPr>
        <w:pStyle w:val="33"/>
        <w:bidi w:val="0"/>
      </w:pPr>
      <w:bookmarkStart w:id="10" w:name="_Toc16083"/>
      <w:r>
        <w:t>实施原则</w:t>
      </w:r>
      <w:bookmarkEnd w:id="9"/>
      <w:bookmarkEnd w:id="10"/>
    </w:p>
    <w:p w14:paraId="736D2E9B">
      <w:pPr>
        <w:pStyle w:val="42"/>
        <w:numPr>
          <w:ilvl w:val="0"/>
          <w:numId w:val="2"/>
        </w:numPr>
        <w:bidi w:val="0"/>
        <w:ind w:left="425" w:leftChars="0" w:hanging="425" w:firstLineChars="0"/>
      </w:pPr>
      <w:r>
        <w:t>分阶段推进：按照项目启动、现状调研、运维部署、人员培训、试运行、正式运维六个阶段有序推进</w:t>
      </w:r>
    </w:p>
    <w:p w14:paraId="7E86C5F4">
      <w:pPr>
        <w:pStyle w:val="42"/>
        <w:numPr>
          <w:ilvl w:val="0"/>
          <w:numId w:val="2"/>
        </w:numPr>
        <w:bidi w:val="0"/>
        <w:ind w:left="425" w:leftChars="0" w:hanging="425" w:firstLineChars="0"/>
      </w:pPr>
      <w:r>
        <w:t>里程碑控制：设置关键里程碑节点，确保项目进度可控</w:t>
      </w:r>
    </w:p>
    <w:p w14:paraId="2C0FA9DA">
      <w:pPr>
        <w:pStyle w:val="42"/>
        <w:numPr>
          <w:ilvl w:val="0"/>
          <w:numId w:val="2"/>
        </w:numPr>
        <w:bidi w:val="0"/>
        <w:ind w:left="425" w:leftChars="0" w:hanging="425" w:firstLineChars="0"/>
      </w:pPr>
      <w:r>
        <w:t>质量优先：每个阶段完成后进行评审，确保交付质量</w:t>
      </w:r>
    </w:p>
    <w:p w14:paraId="040C5438">
      <w:pPr>
        <w:pStyle w:val="42"/>
        <w:numPr>
          <w:ilvl w:val="0"/>
          <w:numId w:val="2"/>
        </w:numPr>
        <w:bidi w:val="0"/>
        <w:ind w:left="425" w:leftChars="0" w:hanging="425" w:firstLineChars="0"/>
      </w:pPr>
      <w:r>
        <w:t>客户参与：关键节点需甲方确认，确保项目方向一致</w:t>
      </w:r>
    </w:p>
    <w:p w14:paraId="4029A5C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正式运维阶段，持续开展数据库、中间件监控、性能分析和服务改进，通过PDCA循环不断优化运维服务质量。</w:t>
      </w:r>
    </w:p>
    <w:p w14:paraId="5130644B">
      <w:pPr>
        <w:pStyle w:val="31"/>
        <w:bidi w:val="0"/>
        <w:rPr>
          <w:rFonts w:hint="default"/>
          <w:lang w:val="en-US" w:eastAsia="zh-CN"/>
        </w:rPr>
      </w:pPr>
      <w:bookmarkStart w:id="11" w:name="_Toc2655"/>
      <w:r>
        <w:rPr>
          <w:rFonts w:hint="default"/>
          <w:lang w:val="en-US" w:eastAsia="zh-CN"/>
        </w:rPr>
        <w:t>年度工作阶段划分</w:t>
      </w:r>
      <w:bookmarkEnd w:id="11"/>
    </w:p>
    <w:p w14:paraId="7149F6D7">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12398"/>
      <w:r>
        <w:rPr>
          <w:rFonts w:hint="eastAsia"/>
          <w:lang w:val="en-US" w:eastAsia="zh-CN"/>
        </w:rPr>
        <w:t xml:space="preserve"> 年度工作阶段划分表</w:t>
      </w:r>
      <w:bookmarkEnd w:id="12"/>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0"/>
        <w:gridCol w:w="1121"/>
        <w:gridCol w:w="1231"/>
        <w:gridCol w:w="5470"/>
      </w:tblGrid>
      <w:tr w14:paraId="387B4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700"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187DAD38">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阶段</w:t>
            </w:r>
          </w:p>
        </w:tc>
        <w:tc>
          <w:tcPr>
            <w:tcW w:w="112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2AFB3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阶段名称</w:t>
            </w:r>
          </w:p>
        </w:tc>
        <w:tc>
          <w:tcPr>
            <w:tcW w:w="123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2D1ED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周期</w:t>
            </w:r>
          </w:p>
        </w:tc>
        <w:tc>
          <w:tcPr>
            <w:tcW w:w="5469"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292738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主要任务</w:t>
            </w:r>
          </w:p>
        </w:tc>
      </w:tr>
      <w:tr w14:paraId="13622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09D257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w:t>
            </w:r>
          </w:p>
        </w:tc>
        <w:tc>
          <w:tcPr>
            <w:tcW w:w="1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12B84B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项目启动</w:t>
            </w:r>
          </w:p>
        </w:tc>
        <w:tc>
          <w:tcPr>
            <w:tcW w:w="123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20E8B2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第1-2周</w:t>
            </w:r>
          </w:p>
        </w:tc>
        <w:tc>
          <w:tcPr>
            <w:tcW w:w="54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9538D8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组建项目团队、召开项目启动会、确认年度计划、建立沟通机制</w:t>
            </w:r>
          </w:p>
        </w:tc>
      </w:tr>
      <w:tr w14:paraId="32C21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C6375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w:t>
            </w:r>
          </w:p>
        </w:tc>
        <w:tc>
          <w:tcPr>
            <w:tcW w:w="1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67446A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现状调研</w:t>
            </w:r>
          </w:p>
        </w:tc>
        <w:tc>
          <w:tcPr>
            <w:tcW w:w="123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CCB35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第3-4周</w:t>
            </w:r>
          </w:p>
        </w:tc>
        <w:tc>
          <w:tcPr>
            <w:tcW w:w="54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6FBD74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部署架构调研、运维基线确认、备份方案确认</w:t>
            </w:r>
          </w:p>
        </w:tc>
      </w:tr>
      <w:tr w14:paraId="471FB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DC3E6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w:t>
            </w:r>
          </w:p>
        </w:tc>
        <w:tc>
          <w:tcPr>
            <w:tcW w:w="1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48E61C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运维部署</w:t>
            </w:r>
          </w:p>
        </w:tc>
        <w:tc>
          <w:tcPr>
            <w:tcW w:w="123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F40E8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第5-8周</w:t>
            </w:r>
          </w:p>
        </w:tc>
        <w:tc>
          <w:tcPr>
            <w:tcW w:w="54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D566AC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服务器环境检查、网络连通性测试、监控工具部署、备份策略配置、监控功能验证</w:t>
            </w:r>
          </w:p>
        </w:tc>
      </w:tr>
      <w:tr w14:paraId="5DE5D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45C8B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w:t>
            </w:r>
          </w:p>
        </w:tc>
        <w:tc>
          <w:tcPr>
            <w:tcW w:w="1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F39278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人员培训</w:t>
            </w:r>
          </w:p>
        </w:tc>
        <w:tc>
          <w:tcPr>
            <w:tcW w:w="123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542306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第9-10周</w:t>
            </w:r>
          </w:p>
        </w:tc>
        <w:tc>
          <w:tcPr>
            <w:tcW w:w="54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B2B3E0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运维服务手册编写、培训材料准备、运维人员培训、应急响应培训、培训效果评估</w:t>
            </w:r>
          </w:p>
        </w:tc>
      </w:tr>
      <w:tr w14:paraId="643D2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E729E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w:t>
            </w:r>
          </w:p>
        </w:tc>
        <w:tc>
          <w:tcPr>
            <w:tcW w:w="112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B7B76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试运行</w:t>
            </w:r>
          </w:p>
        </w:tc>
        <w:tc>
          <w:tcPr>
            <w:tcW w:w="123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FF8B38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第11-14周</w:t>
            </w:r>
          </w:p>
        </w:tc>
        <w:tc>
          <w:tcPr>
            <w:tcW w:w="546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F8DC45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运维服务体系正式上线、试运行监控、问题收集处理、系统优化调整、试运行总结</w:t>
            </w:r>
          </w:p>
        </w:tc>
      </w:tr>
      <w:tr w14:paraId="44A2E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0"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071E3A3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6</w:t>
            </w:r>
          </w:p>
        </w:tc>
        <w:tc>
          <w:tcPr>
            <w:tcW w:w="112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20C99A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正式运维</w:t>
            </w:r>
          </w:p>
        </w:tc>
        <w:tc>
          <w:tcPr>
            <w:tcW w:w="123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030FB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第15-52周</w:t>
            </w:r>
          </w:p>
        </w:tc>
        <w:tc>
          <w:tcPr>
            <w:tcW w:w="5469"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19DD7DA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日常运维、巡检监控、故障处理、服务报告、持续优化</w:t>
            </w:r>
          </w:p>
        </w:tc>
      </w:tr>
    </w:tbl>
    <w:p w14:paraId="4E09B987">
      <w:pPr>
        <w:pStyle w:val="32"/>
        <w:rPr>
          <w:rFonts w:hint="default"/>
          <w:lang w:val="en-US" w:eastAsia="zh-CN"/>
        </w:rPr>
      </w:pPr>
    </w:p>
    <w:p w14:paraId="39C579C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p>
    <w:p w14:paraId="20C97782">
      <w:pPr>
        <w:pStyle w:val="31"/>
        <w:bidi w:val="0"/>
        <w:rPr>
          <w:rFonts w:hint="default"/>
          <w:lang w:val="en-US" w:eastAsia="zh-CN"/>
        </w:rPr>
      </w:pPr>
      <w:bookmarkStart w:id="13" w:name="_Toc15537"/>
      <w:r>
        <w:rPr>
          <w:rFonts w:hint="default"/>
          <w:lang w:val="en-US" w:eastAsia="zh-CN"/>
        </w:rPr>
        <w:t>年度详细工作计划</w:t>
      </w:r>
      <w:bookmarkEnd w:id="13"/>
    </w:p>
    <w:p w14:paraId="3507A0F9">
      <w:pPr>
        <w:pStyle w:val="33"/>
        <w:bidi w:val="0"/>
        <w:rPr>
          <w:rFonts w:hint="default"/>
          <w:lang w:val="en-US" w:eastAsia="zh-CN"/>
        </w:rPr>
      </w:pPr>
      <w:bookmarkStart w:id="14" w:name="_Toc19404"/>
      <w:r>
        <w:rPr>
          <w:rFonts w:hint="default"/>
          <w:lang w:val="en-US" w:eastAsia="zh-CN"/>
        </w:rPr>
        <w:t>第一阶段：项目启动（第1-2周）</w:t>
      </w:r>
      <w:bookmarkEnd w:id="14"/>
    </w:p>
    <w:p w14:paraId="0CF0402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本阶段主要完成项目启动相关准备工作。第1周，项目经理组织组建项目团队，明确各成员职责分工，形成《项目通讯录》。随后召开项目启动会，双方项目组共同确认项目目标、范围、计划，形成《项目启动会纪要》。</w:t>
      </w:r>
    </w:p>
    <w:p w14:paraId="35717AB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第2周，项目经理编制《年度实施与运维计划》，明确各阶段工作安排和交付物要求。同时建立项目沟通机制，明确周例会、周报、问题跟踪等沟通方式。与甲方共同明确服务验收标准，形成《服务验收标准》。</w:t>
      </w:r>
    </w:p>
    <w:p w14:paraId="1CD352F7">
      <w:pPr>
        <w:pStyle w:val="33"/>
        <w:bidi w:val="0"/>
        <w:rPr>
          <w:rFonts w:hint="default"/>
          <w:lang w:val="en-US" w:eastAsia="zh-CN"/>
        </w:rPr>
      </w:pPr>
      <w:bookmarkStart w:id="15" w:name="_Toc15731"/>
      <w:r>
        <w:rPr>
          <w:rFonts w:hint="default"/>
          <w:lang w:val="en-US" w:eastAsia="zh-CN"/>
        </w:rPr>
        <w:t>第二阶段：现状调研（第3-4周）</w:t>
      </w:r>
      <w:bookmarkEnd w:id="15"/>
    </w:p>
    <w:p w14:paraId="62E61C0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本阶段主要完成现状调研和运维基线确认工作。第3周，技术负责人开展运维现状调研，深入了解甲方4套达梦数据库、7套东方通中间件的部署架构和运行现状，形成《运维现状调研记录》。随后确认运维服务清单，明确运维服务范围与SLA指标。硬件负责人同步开展运行环境检查，确认服务器、网络环境满足运维要求，形成《运行环境检查报告》。</w:t>
      </w:r>
    </w:p>
    <w:p w14:paraId="4334C29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第4周，技术负责人确认备份与恢复方案，明确备份策略、保留周期和恢复流程。项目经理确认运维服务要求，明确响应时间、服务范围等内容。最后编制《运维服务确认书》，经双方确认后作为后续工作的依据。</w:t>
      </w:r>
    </w:p>
    <w:p w14:paraId="415D6A32">
      <w:pPr>
        <w:pStyle w:val="33"/>
        <w:bidi w:val="0"/>
        <w:rPr>
          <w:rFonts w:hint="default"/>
          <w:lang w:val="en-US" w:eastAsia="zh-CN"/>
        </w:rPr>
      </w:pPr>
      <w:bookmarkStart w:id="16" w:name="_Toc6150"/>
      <w:r>
        <w:rPr>
          <w:rFonts w:hint="default"/>
          <w:lang w:val="en-US" w:eastAsia="zh-CN"/>
        </w:rPr>
        <w:t>第三阶段：运维部署（第5-8周）</w:t>
      </w:r>
      <w:bookmarkEnd w:id="16"/>
    </w:p>
    <w:p w14:paraId="4871A0A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本阶段主要完成运维体系部署和功能验证工作。第5周，硬件负责人完成服务器环境检查，确保操作系统、网络环境就绪。同步完成网络连通性测试，形成《网络测试报告》。</w:t>
      </w:r>
    </w:p>
    <w:p w14:paraId="465743B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第6周，技术负责人完成监控工具部署和告警配置，确保监控指标覆盖数据库、中间件运行状态。</w:t>
      </w:r>
    </w:p>
    <w:p w14:paraId="7D6FF80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第7周，技术负责人完成备份策略配置和验证，形成《备份策略确认书》。硬件负责人完成运行环境调试，确保服务器、网络设备与监控系统正常通信。</w:t>
      </w:r>
    </w:p>
    <w:p w14:paraId="359CDE2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第8周，技术负责人完成监控告警功能验证，验证各项监控指标运行正常，形成《监控功能验证报告》。最后编制《运维部署报告》，总结本阶段工作成果。</w:t>
      </w:r>
    </w:p>
    <w:p w14:paraId="38B6F65F">
      <w:pPr>
        <w:pStyle w:val="33"/>
        <w:bidi w:val="0"/>
        <w:rPr>
          <w:rFonts w:hint="default"/>
          <w:lang w:val="en-US" w:eastAsia="zh-CN"/>
        </w:rPr>
      </w:pPr>
      <w:bookmarkStart w:id="17" w:name="_Toc5223"/>
      <w:r>
        <w:rPr>
          <w:rFonts w:hint="default"/>
          <w:lang w:val="en-US" w:eastAsia="zh-CN"/>
        </w:rPr>
        <w:t>第四阶段：人员培训（第9-10周）</w:t>
      </w:r>
      <w:bookmarkEnd w:id="17"/>
    </w:p>
    <w:p w14:paraId="31E796A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本阶段主要完成培训实施工作。第9周，培训负责人编写《运维服务手册》，内容涵盖监控操作、巡检流程、故障处理、常见问题处理等。同时准备《培训材料》，包括培训PPT、操作演示视频等。组织运维人员培训，确保运维人员掌握日常运维技能，形成《培训签到表》。</w:t>
      </w:r>
    </w:p>
    <w:p w14:paraId="36939D7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第10周，组织应急响应培训，培训内容包括应急预案、演练流程、故障处置等，形成《培训签到表》。培训结束后进行效果评估，收集参训人员反馈，形成《培训评估表》。技术负责人同步完善《运维服务手册》，为后续运维工作提供指导。</w:t>
      </w:r>
    </w:p>
    <w:p w14:paraId="5093F782">
      <w:pPr>
        <w:pStyle w:val="33"/>
        <w:bidi w:val="0"/>
        <w:rPr>
          <w:rFonts w:hint="default"/>
          <w:lang w:val="en-US" w:eastAsia="zh-CN"/>
        </w:rPr>
      </w:pPr>
      <w:bookmarkStart w:id="18" w:name="_Toc27363"/>
      <w:r>
        <w:rPr>
          <w:rFonts w:hint="default"/>
          <w:lang w:val="en-US" w:eastAsia="zh-CN"/>
        </w:rPr>
        <w:t>第五阶段：试运行（第11-14周）</w:t>
      </w:r>
      <w:bookmarkEnd w:id="18"/>
    </w:p>
    <w:p w14:paraId="70A2CE1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本阶段主要完成运维服务体系上线和试运行验证工作。第11周，技术负责人执行运维服务体系正式上线，全面开展数据库、中间件运维服务。</w:t>
      </w:r>
    </w:p>
    <w:p w14:paraId="3D3C4E7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第11至14周，技术负责人持续进行试运行监控，每日检查数据库、中间件运行状态、服务器性能、网络连通性等，形成监控记录。服务台专员同步收集用户反馈问题，记录在问题台账中。技术负责人根据问题优先级进行处理和修复，必要时进行系统优化调整。</w:t>
      </w:r>
    </w:p>
    <w:p w14:paraId="55DC573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第14周，项目经理总结试运行情况，统计问题处理情况、系统运行指标等，形成《试运行报告》，作为项目验收的依据。</w:t>
      </w:r>
    </w:p>
    <w:p w14:paraId="4A08A18D">
      <w:pPr>
        <w:pStyle w:val="33"/>
        <w:bidi w:val="0"/>
        <w:rPr>
          <w:rFonts w:hint="default"/>
          <w:lang w:val="en-US" w:eastAsia="zh-CN"/>
        </w:rPr>
      </w:pPr>
      <w:bookmarkStart w:id="19" w:name="_Toc29893"/>
      <w:r>
        <w:rPr>
          <w:rFonts w:hint="default"/>
          <w:lang w:val="en-US" w:eastAsia="zh-CN"/>
        </w:rPr>
        <w:t>第六阶段：正式运维（第15-52周）</w:t>
      </w:r>
      <w:bookmarkEnd w:id="19"/>
    </w:p>
    <w:p w14:paraId="0A51561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本阶段为正式运维期，持续至合同结束。</w:t>
      </w:r>
    </w:p>
    <w:p w14:paraId="61E7A97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日常运维工作：技术负责人每日检查数据库、中间件运行状态和服务器性能，硬件负责人每日测试网络连通性并监控服务器状态，每日执行数据库备份并记录备份结果。每周开展数据库、中间件健康检查，确保各组件运行正常。服务台专员负责受理用户事件请求，记录处理过程，并定期开展客户回访。</w:t>
      </w:r>
    </w:p>
    <w:p w14:paraId="680434F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月度运维工作：每月第一周，技术负责人检查并安装系统安全补丁；第二周进行数据库、中间件健康检查；第三周进行备份恢复验证，确保备份数据可用；第四周统计月度可用性数据，编制《月度可用性报告》和《月度运维服务报告》，提交甲方确认。</w:t>
      </w:r>
    </w:p>
    <w:p w14:paraId="521ABA2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季度运维工作：每季度末，技术负责人开展数据库、中间件性能评估和容量分析，编制相应报告。项目经理组织客户满意度调查，收集甲方反馈意见，分析满意度数据，编制《满意度调查报告》，并制定下季度服务改进计划。硬件负责人同步开展季度硬件设备巡检。</w:t>
      </w:r>
    </w:p>
    <w:p w14:paraId="700219E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年度运维工作：第52周，项目经理统计全年可用性数据，编制《年度可用性报告》和《年度服务总结报告》，总结全年运维工作成效。同时制定《下年度服务计划》，为合同续签或服务延续做好准备。运维部经理在年度内组织一次应急演练，验证应急预案有效性，形成《应急演练报告》。</w:t>
      </w:r>
    </w:p>
    <w:p w14:paraId="6C060C3E">
      <w:pPr>
        <w:pStyle w:val="31"/>
        <w:bidi w:val="0"/>
        <w:rPr>
          <w:rFonts w:hint="default"/>
          <w:lang w:val="en-US" w:eastAsia="zh-CN"/>
        </w:rPr>
      </w:pPr>
      <w:bookmarkStart w:id="20" w:name="_Toc7824"/>
      <w:r>
        <w:rPr>
          <w:rFonts w:hint="default"/>
          <w:lang w:val="en-US" w:eastAsia="zh-CN"/>
        </w:rPr>
        <w:t>年度资源安排</w:t>
      </w:r>
      <w:bookmarkEnd w:id="20"/>
    </w:p>
    <w:p w14:paraId="7952796B">
      <w:pPr>
        <w:pStyle w:val="33"/>
        <w:bidi w:val="0"/>
        <w:rPr>
          <w:rFonts w:hint="default" w:ascii="Segoe UI" w:hAnsi="Segoe UI" w:eastAsia="Segoe UI" w:cs="Segoe UI"/>
          <w:i w:val="0"/>
          <w:iCs w:val="0"/>
          <w:caps w:val="0"/>
          <w:color w:val="0F1115"/>
          <w:spacing w:val="0"/>
          <w:sz w:val="24"/>
          <w:szCs w:val="24"/>
          <w:shd w:val="clear" w:color="auto" w:fill="FFFFFF"/>
          <w:lang w:val="en-US" w:eastAsia="zh-CN"/>
        </w:rPr>
      </w:pPr>
      <w:bookmarkStart w:id="21" w:name="_Toc15501"/>
      <w:r>
        <w:rPr>
          <w:rFonts w:hint="default" w:ascii="Segoe UI" w:hAnsi="Segoe UI" w:eastAsia="Segoe UI" w:cs="Segoe UI"/>
          <w:i w:val="0"/>
          <w:iCs w:val="0"/>
          <w:caps w:val="0"/>
          <w:color w:val="0F1115"/>
          <w:spacing w:val="0"/>
          <w:sz w:val="24"/>
          <w:szCs w:val="24"/>
          <w:shd w:val="clear" w:color="auto" w:fill="FFFFFF"/>
          <w:lang w:val="en-US" w:eastAsia="zh-CN"/>
        </w:rPr>
        <w:t>人员资源</w:t>
      </w:r>
      <w:bookmarkEnd w:id="21"/>
    </w:p>
    <w:p w14:paraId="2B151C8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本项目投入的人员资源包括：项目经理负责项目整体管理、协调和沟通，投入全程；技术负责人负责数据库、中间件运维和问题处理，投入全程；硬件负责人负责运行环境检查、网络调试和设备维护，投入全程；培训负责人负责培训材料编写和培训实施，投入第9-10周；服务台专员负责事件受理和客户回访，投入第15-52周；质量监督按需参与质量检查和验收工作。</w:t>
      </w:r>
    </w:p>
    <w:p w14:paraId="67A30118">
      <w:pPr>
        <w:pStyle w:val="33"/>
        <w:bidi w:val="0"/>
        <w:rPr>
          <w:rFonts w:hint="default" w:ascii="Segoe UI" w:hAnsi="Segoe UI" w:eastAsia="Segoe UI" w:cs="Segoe UI"/>
          <w:i w:val="0"/>
          <w:iCs w:val="0"/>
          <w:caps w:val="0"/>
          <w:color w:val="0F1115"/>
          <w:spacing w:val="0"/>
          <w:sz w:val="24"/>
          <w:szCs w:val="24"/>
          <w:shd w:val="clear" w:color="auto" w:fill="FFFFFF"/>
          <w:lang w:val="en-US" w:eastAsia="zh-CN"/>
        </w:rPr>
      </w:pPr>
      <w:bookmarkStart w:id="22" w:name="_Toc31595"/>
      <w:r>
        <w:rPr>
          <w:rFonts w:hint="default" w:ascii="Segoe UI" w:hAnsi="Segoe UI" w:eastAsia="Segoe UI" w:cs="Segoe UI"/>
          <w:i w:val="0"/>
          <w:iCs w:val="0"/>
          <w:caps w:val="0"/>
          <w:color w:val="0F1115"/>
          <w:spacing w:val="0"/>
          <w:sz w:val="24"/>
          <w:szCs w:val="24"/>
          <w:shd w:val="clear" w:color="auto" w:fill="FFFFFF"/>
          <w:lang w:val="en-US" w:eastAsia="zh-CN"/>
        </w:rPr>
        <w:t>硬件资源</w:t>
      </w:r>
      <w:bookmarkEnd w:id="22"/>
    </w:p>
    <w:p w14:paraId="7E5C380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硬件资源由甲方提供，主要包括：数据库服务器4台、中间件服务器3台，网络设备包括路由器、交换机等。乙方提供备用服务器1台，用于应急切换；提供测试笔记本电脑1台，用于监控测试和调试。</w:t>
      </w:r>
    </w:p>
    <w:p w14:paraId="724F127A">
      <w:pPr>
        <w:pStyle w:val="33"/>
        <w:bidi w:val="0"/>
        <w:rPr>
          <w:rFonts w:hint="default" w:ascii="Segoe UI" w:hAnsi="Segoe UI" w:eastAsia="Segoe UI" w:cs="Segoe UI"/>
          <w:i w:val="0"/>
          <w:iCs w:val="0"/>
          <w:caps w:val="0"/>
          <w:color w:val="0F1115"/>
          <w:spacing w:val="0"/>
          <w:sz w:val="24"/>
          <w:szCs w:val="24"/>
          <w:shd w:val="clear" w:color="auto" w:fill="FFFFFF"/>
          <w:lang w:val="en-US" w:eastAsia="zh-CN"/>
        </w:rPr>
      </w:pPr>
      <w:bookmarkStart w:id="23" w:name="_Toc29566"/>
      <w:r>
        <w:rPr>
          <w:rFonts w:hint="default" w:ascii="Segoe UI" w:hAnsi="Segoe UI" w:eastAsia="Segoe UI" w:cs="Segoe UI"/>
          <w:i w:val="0"/>
          <w:iCs w:val="0"/>
          <w:caps w:val="0"/>
          <w:color w:val="0F1115"/>
          <w:spacing w:val="0"/>
          <w:sz w:val="24"/>
          <w:szCs w:val="24"/>
          <w:shd w:val="clear" w:color="auto" w:fill="FFFFFF"/>
          <w:lang w:val="en-US" w:eastAsia="zh-CN"/>
        </w:rPr>
        <w:t>软件资源</w:t>
      </w:r>
      <w:bookmarkEnd w:id="23"/>
    </w:p>
    <w:p w14:paraId="7D4F9FB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软件资源由乙方提供，包括国泰新点大OA系统运维服务项目、达梦数据库软件、监控工具等。操作系统由甲方提供，包括Linux或Windows Server。</w:t>
      </w:r>
    </w:p>
    <w:p w14:paraId="0DFBF4C1">
      <w:pPr>
        <w:pStyle w:val="31"/>
        <w:bidi w:val="0"/>
        <w:rPr>
          <w:rFonts w:hint="default"/>
          <w:lang w:val="en-US" w:eastAsia="zh-CN"/>
        </w:rPr>
      </w:pPr>
      <w:bookmarkStart w:id="24" w:name="_Toc12203"/>
      <w:r>
        <w:rPr>
          <w:rFonts w:hint="default"/>
          <w:lang w:val="en-US" w:eastAsia="zh-CN"/>
        </w:rPr>
        <w:t>年度里程碑节点</w:t>
      </w:r>
      <w:bookmarkEnd w:id="24"/>
    </w:p>
    <w:p w14:paraId="69FBA92E">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12075"/>
      <w:r>
        <w:rPr>
          <w:rFonts w:hint="eastAsia"/>
          <w:lang w:val="en-US" w:eastAsia="zh-CN"/>
        </w:rPr>
        <w:t xml:space="preserve"> 年度里程碑节点表</w:t>
      </w:r>
      <w:bookmarkEnd w:id="25"/>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0"/>
        <w:gridCol w:w="1581"/>
        <w:gridCol w:w="4066"/>
        <w:gridCol w:w="1045"/>
      </w:tblGrid>
      <w:tr w14:paraId="3E992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830"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573A459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里程碑</w:t>
            </w:r>
          </w:p>
        </w:tc>
        <w:tc>
          <w:tcPr>
            <w:tcW w:w="158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7D9F1D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计划完成时间</w:t>
            </w:r>
          </w:p>
        </w:tc>
        <w:tc>
          <w:tcPr>
            <w:tcW w:w="4067"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5C496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交付物</w:t>
            </w:r>
          </w:p>
        </w:tc>
        <w:tc>
          <w:tcPr>
            <w:tcW w:w="1045"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5855A34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确认方</w:t>
            </w:r>
          </w:p>
        </w:tc>
      </w:tr>
      <w:tr w14:paraId="3CCF6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7C895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M1：项目启动完成</w:t>
            </w:r>
          </w:p>
        </w:tc>
        <w:tc>
          <w:tcPr>
            <w:tcW w:w="15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68FCA1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第2周</w:t>
            </w:r>
          </w:p>
        </w:tc>
        <w:tc>
          <w:tcPr>
            <w:tcW w:w="406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0FD4D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《项目启动会纪要》《年度实施与运维计划》</w:t>
            </w:r>
          </w:p>
        </w:tc>
        <w:tc>
          <w:tcPr>
            <w:tcW w:w="1045"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7F5D87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双方</w:t>
            </w:r>
          </w:p>
        </w:tc>
      </w:tr>
      <w:tr w14:paraId="101C1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30E54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M2：现状调研完成</w:t>
            </w:r>
          </w:p>
        </w:tc>
        <w:tc>
          <w:tcPr>
            <w:tcW w:w="15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1770F6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第4周</w:t>
            </w:r>
          </w:p>
        </w:tc>
        <w:tc>
          <w:tcPr>
            <w:tcW w:w="406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D6651E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《运维服务确认书》</w:t>
            </w:r>
          </w:p>
        </w:tc>
        <w:tc>
          <w:tcPr>
            <w:tcW w:w="1045"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4BDA33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甲方</w:t>
            </w:r>
          </w:p>
        </w:tc>
      </w:tr>
      <w:tr w14:paraId="2D934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16BB9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M3：运维部署完成</w:t>
            </w:r>
          </w:p>
        </w:tc>
        <w:tc>
          <w:tcPr>
            <w:tcW w:w="15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FD4E5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第8周</w:t>
            </w:r>
          </w:p>
        </w:tc>
        <w:tc>
          <w:tcPr>
            <w:tcW w:w="406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81AFAE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《运维部署报告》《监控功能验证报告》</w:t>
            </w:r>
          </w:p>
        </w:tc>
        <w:tc>
          <w:tcPr>
            <w:tcW w:w="1045"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E07226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乙方</w:t>
            </w:r>
          </w:p>
        </w:tc>
      </w:tr>
      <w:tr w14:paraId="6F0D0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6D61B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M4：培训完成</w:t>
            </w:r>
          </w:p>
        </w:tc>
        <w:tc>
          <w:tcPr>
            <w:tcW w:w="15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313231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第10周</w:t>
            </w:r>
          </w:p>
        </w:tc>
        <w:tc>
          <w:tcPr>
            <w:tcW w:w="406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C2DB81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《培训签到表》《培训评估表》</w:t>
            </w:r>
          </w:p>
        </w:tc>
        <w:tc>
          <w:tcPr>
            <w:tcW w:w="1045"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4E6713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甲方</w:t>
            </w:r>
          </w:p>
        </w:tc>
      </w:tr>
      <w:tr w14:paraId="18EF2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668ED6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M5：试运行完成</w:t>
            </w:r>
          </w:p>
        </w:tc>
        <w:tc>
          <w:tcPr>
            <w:tcW w:w="15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249483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第14周</w:t>
            </w:r>
          </w:p>
        </w:tc>
        <w:tc>
          <w:tcPr>
            <w:tcW w:w="406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60BA7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《试运行报告》</w:t>
            </w:r>
          </w:p>
        </w:tc>
        <w:tc>
          <w:tcPr>
            <w:tcW w:w="1045"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742CDA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双方</w:t>
            </w:r>
          </w:p>
        </w:tc>
      </w:tr>
      <w:tr w14:paraId="17A28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EE906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M6：服务验收完成</w:t>
            </w:r>
          </w:p>
        </w:tc>
        <w:tc>
          <w:tcPr>
            <w:tcW w:w="15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3C8E29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第15周</w:t>
            </w:r>
          </w:p>
        </w:tc>
        <w:tc>
          <w:tcPr>
            <w:tcW w:w="406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FBDA6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《服务验收报告》</w:t>
            </w:r>
          </w:p>
        </w:tc>
        <w:tc>
          <w:tcPr>
            <w:tcW w:w="1045"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7AB59B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双方</w:t>
            </w:r>
          </w:p>
        </w:tc>
      </w:tr>
      <w:tr w14:paraId="6F291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E10469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M7：季度运维报告</w:t>
            </w:r>
          </w:p>
        </w:tc>
        <w:tc>
          <w:tcPr>
            <w:tcW w:w="158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05C895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每季度末</w:t>
            </w:r>
          </w:p>
        </w:tc>
        <w:tc>
          <w:tcPr>
            <w:tcW w:w="406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4F4F4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《季度运维服务报告》</w:t>
            </w:r>
          </w:p>
        </w:tc>
        <w:tc>
          <w:tcPr>
            <w:tcW w:w="1045"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662DD3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甲方</w:t>
            </w:r>
          </w:p>
        </w:tc>
      </w:tr>
      <w:tr w14:paraId="60A91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30"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33F364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M8：年度服务总结</w:t>
            </w:r>
          </w:p>
        </w:tc>
        <w:tc>
          <w:tcPr>
            <w:tcW w:w="158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DFED0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第52周</w:t>
            </w:r>
          </w:p>
        </w:tc>
        <w:tc>
          <w:tcPr>
            <w:tcW w:w="4067"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9693E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《年度服务总结报告》</w:t>
            </w:r>
          </w:p>
        </w:tc>
        <w:tc>
          <w:tcPr>
            <w:tcW w:w="1045"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37C2D16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双方</w:t>
            </w:r>
          </w:p>
        </w:tc>
      </w:tr>
    </w:tbl>
    <w:p w14:paraId="21CD5F8D">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14:paraId="32A1D21D">
      <w:pPr>
        <w:pStyle w:val="31"/>
        <w:bidi w:val="0"/>
        <w:rPr>
          <w:rFonts w:hint="default"/>
          <w:lang w:val="en-US" w:eastAsia="zh-CN"/>
        </w:rPr>
      </w:pPr>
      <w:bookmarkStart w:id="26" w:name="_Toc1697"/>
      <w:r>
        <w:rPr>
          <w:rFonts w:hint="default"/>
          <w:lang w:val="en-US" w:eastAsia="zh-CN"/>
        </w:rPr>
        <w:t>年度风险与应对</w:t>
      </w:r>
      <w:bookmarkEnd w:id="26"/>
    </w:p>
    <w:p w14:paraId="5D71936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本项目可能面临的主要风险及应对措施如下：</w:t>
      </w:r>
    </w:p>
    <w:p w14:paraId="245BD38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数据库故障。发生概率约15%，风险等级高。应对措施是每日自动备份，每周验证备份可用性，制定数据库故障恢复预案。如数据库故障，应急方案是从备份数据恢复。</w:t>
      </w:r>
    </w:p>
    <w:p w14:paraId="67AE01F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中间件故障。发生概率约15%，风险等级高。应对措施是每日检查运行状态，集群部署，制定故障切换预案。如中间件故障，应急方案是重启服务或切换至备用节点。</w:t>
      </w:r>
    </w:p>
    <w:p w14:paraId="6D57129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数据库损坏。发生概率约5%，风险等级低。应对措施是每日自动备份，异地存储备份数据。如数据库损坏，应急方案是从备份数据恢复。</w:t>
      </w:r>
    </w:p>
    <w:p w14:paraId="5EB7990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网络不稳定。发生概率约20%，风险等级中等。应对措施是监控网络连通性，建议甲方配置备用线路。如网络中断，应急方案是启用备用线路或临时调整业务处理方式。</w:t>
      </w:r>
    </w:p>
    <w:p w14:paraId="0EBDE25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数据库损坏。发生概率约5%，风险等级低。应对措施是每日自动备份，异地存储备份数据。如数据库损坏，应急方案是从备份数据恢复。</w:t>
      </w:r>
    </w:p>
    <w:p w14:paraId="22B84A7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客户满意度下降。发生概率约20%，风险等级中等。应对措施是定期与客户沟通，及时处理反馈问题。如满意度下降，应急方案是制定专项改进计划，跟踪整改效果。</w:t>
      </w:r>
    </w:p>
    <w:p w14:paraId="66C9E1E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数据库损坏。发生概率约5%，风险等级低。应对措施是每日自动备份，异地存储备份数据。如数据库损坏，应急方案是从备份数据恢复。</w:t>
      </w:r>
    </w:p>
    <w:p w14:paraId="004FC3B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客户满意度下降。发生概率约20%，风险等级中等。应对措施是定期与客户沟通，及时处理反馈问题。如满意度下降，应急方案是制定专项改进计划，跟踪整改效果。</w:t>
      </w:r>
    </w:p>
    <w:p w14:paraId="6118D8E0">
      <w:pPr>
        <w:pStyle w:val="31"/>
        <w:bidi w:val="0"/>
        <w:rPr>
          <w:rFonts w:hint="default"/>
          <w:lang w:val="en-US" w:eastAsia="zh-CN"/>
        </w:rPr>
      </w:pPr>
      <w:bookmarkStart w:id="27" w:name="_Toc13625"/>
      <w:r>
        <w:rPr>
          <w:rFonts w:hint="default"/>
          <w:lang w:val="en-US" w:eastAsia="zh-CN"/>
        </w:rPr>
        <w:t>计划跟踪机制</w:t>
      </w:r>
      <w:bookmarkEnd w:id="27"/>
    </w:p>
    <w:p w14:paraId="19D7C01E">
      <w:pPr>
        <w:pStyle w:val="33"/>
        <w:bidi w:val="0"/>
        <w:rPr>
          <w:rFonts w:hint="default"/>
          <w:lang w:val="en-US" w:eastAsia="zh-CN"/>
        </w:rPr>
      </w:pPr>
      <w:bookmarkStart w:id="28" w:name="_Toc19765"/>
      <w:r>
        <w:rPr>
          <w:rFonts w:hint="default"/>
          <w:lang w:val="en-US" w:eastAsia="zh-CN"/>
        </w:rPr>
        <w:t>进度跟踪</w:t>
      </w:r>
      <w:bookmarkEnd w:id="28"/>
    </w:p>
    <w:p w14:paraId="0C0AF06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每周一召开项目周例会，双方项目组共同汇报上周工作进展，分析存在的问题，安排本周工作任务。每周五提交项目周报，内容包括本周工作完成情况、问题处理情况、风险状态、下周工作计划。每月末提交项目月报，内容包括月度工作统计、可用性分析、服务报告。</w:t>
      </w:r>
    </w:p>
    <w:p w14:paraId="281BB6D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每个里程碑完成后，组织里程碑评审会议，确认阶段成果，评估是否具备进入下一阶段的条件。</w:t>
      </w:r>
    </w:p>
    <w:p w14:paraId="43A0BB79">
      <w:pPr>
        <w:pStyle w:val="33"/>
        <w:bidi w:val="0"/>
        <w:rPr>
          <w:rFonts w:hint="default"/>
          <w:lang w:val="en-US" w:eastAsia="zh-CN"/>
        </w:rPr>
      </w:pPr>
      <w:bookmarkStart w:id="29" w:name="_Toc8041"/>
      <w:r>
        <w:rPr>
          <w:rFonts w:hint="default"/>
          <w:lang w:val="en-US" w:eastAsia="zh-CN"/>
        </w:rPr>
        <w:t>问题跟踪</w:t>
      </w:r>
      <w:bookmarkEnd w:id="29"/>
    </w:p>
    <w:p w14:paraId="124964C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建立《项目问题跟踪表》，记录所有发现的问题，包括问题描述、发现时间、责任人、处理方案、处理状态、关闭时间。问题按照影响程度分级管理，重大问题需在24小时内解决，一般问题在3天内解决。问题解决后需经提出方确认，方可关闭。</w:t>
      </w:r>
    </w:p>
    <w:p w14:paraId="0CD2DEB9">
      <w:pPr>
        <w:pStyle w:val="33"/>
        <w:bidi w:val="0"/>
        <w:rPr>
          <w:rFonts w:hint="default"/>
          <w:lang w:val="en-US" w:eastAsia="zh-CN"/>
        </w:rPr>
      </w:pPr>
      <w:bookmarkStart w:id="30" w:name="_Toc2565"/>
      <w:r>
        <w:rPr>
          <w:rFonts w:hint="default"/>
          <w:lang w:val="en-US" w:eastAsia="zh-CN"/>
        </w:rPr>
        <w:t>变更管理</w:t>
      </w:r>
      <w:bookmarkEnd w:id="30"/>
    </w:p>
    <w:p w14:paraId="052D906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项目范围、计划发生变更时，需提交《项目变更申请单》，说明变更原因、变更内容、影响评估。变更需经项目经理和甲方确认后方可执行。所有变更记录在《项目变更记录表》中，作为项目过程资产归档。</w:t>
      </w:r>
    </w:p>
    <w:p w14:paraId="11B2C765">
      <w:pPr>
        <w:pStyle w:val="33"/>
        <w:bidi w:val="0"/>
        <w:rPr>
          <w:rFonts w:hint="default"/>
          <w:lang w:val="en-US" w:eastAsia="zh-CN"/>
        </w:rPr>
      </w:pPr>
      <w:bookmarkStart w:id="31" w:name="_Toc22393"/>
      <w:r>
        <w:rPr>
          <w:rFonts w:hint="default"/>
          <w:lang w:val="en-US" w:eastAsia="zh-CN"/>
        </w:rPr>
        <w:t>服务质量监控</w:t>
      </w:r>
      <w:bookmarkEnd w:id="31"/>
    </w:p>
    <w:p w14:paraId="2CF4FC7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每日监控系统可用性，记录系统运行状态和性能指标。每月统计SLA达成情况，包括可用性达标率、响应及时率、故障解决率等。未达标项需分析原因，启动改进措施。每季度开展客户满意度调查，收集甲方反馈意见，根据调查结果制定服务改进计划，跟踪改进措施落实情况。</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44090AEF"/>
    <w:multiLevelType w:val="singleLevel"/>
    <w:tmpl w:val="44090AEF"/>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4A157BD"/>
    <w:rsid w:val="773E34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379</Words>
  <Characters>520</Characters>
  <Lines>0</Lines>
  <Paragraphs>0</Paragraphs>
  <TotalTime>2</TotalTime>
  <ScaleCrop>false</ScaleCrop>
  <LinksUpToDate>false</LinksUpToDate>
  <CharactersWithSpaces>624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2026-09-04T17:11:46Z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eyJoZGlkIjoiYjk5ODM0YmMxOWJiYWQyNDU4MGIzYWRmYTA0ZmI5NDciLCJ1c2VySWQiOiIxMDc1MzgyOSJ9</vt:lpwstr>
  </property>
</Properties>
</file>