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E861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0C0FE6B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国泰新点大OA系统运维服务项目</w:t>
      </w:r>
      <w:r>
        <w:rPr>
          <w:rFonts w:hint="eastAsia"/>
          <w:sz w:val="36"/>
          <w:szCs w:val="36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t>2026年度阶段性总结报告（截止2026年7月）</w:t>
      </w:r>
    </w:p>
    <w:p w14:paraId="12FE83B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72A4D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2C96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012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SFKJ-ITSS-0904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17D9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E1A2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B6E0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596F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87CB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DDC2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5A93B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32F88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17DA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C366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0895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A7B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53CFA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46D0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20011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692F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DA2A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  <w:tr w14:paraId="4C381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920A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4656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F114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38ED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2026.07.30</w:t>
            </w:r>
          </w:p>
        </w:tc>
      </w:tr>
    </w:tbl>
    <w:p w14:paraId="4AAE46A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08D3F3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DCE6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AFF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78A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83A3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DF3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455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514D2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8E6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0F1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498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E9D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64B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5913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C9B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D20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6AF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194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1D1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F6F8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136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2ED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1C9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FAB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059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A7A8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634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17E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F66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BF7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A70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E9B98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DCBAB3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C003FE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_Toc11154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_Toc11154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4B7FE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_Toc7596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64ED3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_Toc26416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313BF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项目实施情况总结</w:t>
          </w:r>
          <w:r>
            <w:tab/>
          </w:r>
          <w:r>
            <w:fldChar w:fldCharType="begin"/>
          </w:r>
          <w:r>
            <w:instrText xml:space="preserve"> PAGEREF _Toc19482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759D7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项目整体进展</w:t>
          </w:r>
          <w:r>
            <w:tab/>
          </w:r>
          <w:r>
            <w:fldChar w:fldCharType="begin"/>
          </w:r>
          <w:r>
            <w:instrText xml:space="preserve"> PAGEREF _Toc13868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93281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各阶段工作回顾</w:t>
          </w:r>
          <w:r>
            <w:tab/>
          </w:r>
          <w:r>
            <w:fldChar w:fldCharType="begin"/>
          </w:r>
          <w:r>
            <w:instrText xml:space="preserve"> PAGEREF _Toc22008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3031E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运维服务执行情况</w:t>
          </w:r>
          <w:r>
            <w:tab/>
          </w:r>
          <w:r>
            <w:fldChar w:fldCharType="begin"/>
          </w:r>
          <w:r>
            <w:instrText xml:space="preserve"> PAGEREF _Toc9021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33A51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日常运维执行情况</w:t>
          </w:r>
          <w:r>
            <w:tab/>
          </w:r>
          <w:r>
            <w:fldChar w:fldCharType="begin"/>
          </w:r>
          <w:r>
            <w:instrText xml:space="preserve"> PAGEREF _Toc8543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13CC0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月度运维工作执行情况</w:t>
          </w:r>
          <w:r>
            <w:tab/>
          </w:r>
          <w:r>
            <w:fldChar w:fldCharType="begin"/>
          </w:r>
          <w:r>
            <w:instrText xml:space="preserve"> PAGEREF _Toc29015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0B460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季度运维工作执行情况</w:t>
          </w:r>
          <w:r>
            <w:tab/>
          </w:r>
          <w:r>
            <w:fldChar w:fldCharType="begin"/>
          </w:r>
          <w:r>
            <w:instrText xml:space="preserve"> PAGEREF _Toc28106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E6F08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服务台运行情况</w:t>
          </w:r>
          <w:r>
            <w:tab/>
          </w:r>
          <w:r>
            <w:fldChar w:fldCharType="begin"/>
          </w:r>
          <w:r>
            <w:instrText xml:space="preserve"> PAGEREF _Toc4365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9E79B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质量目标达成情况</w:t>
          </w:r>
          <w:r>
            <w:tab/>
          </w:r>
          <w:r>
            <w:fldChar w:fldCharType="begin"/>
          </w:r>
          <w:r>
            <w:instrText xml:space="preserve"> PAGEREF _Toc1116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7233F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可用性目标达成情况</w:t>
          </w:r>
          <w:r>
            <w:tab/>
          </w:r>
          <w:r>
            <w:fldChar w:fldCharType="begin"/>
          </w:r>
          <w:r>
            <w:instrText xml:space="preserve"> PAGEREF _Toc24149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91345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服务质量目标达成情况</w:t>
          </w:r>
          <w:r>
            <w:tab/>
          </w:r>
          <w:r>
            <w:fldChar w:fldCharType="begin"/>
          </w:r>
          <w:r>
            <w:instrText xml:space="preserve"> PAGEREF _Toc4907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D73A2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服务报告提交情况</w:t>
          </w:r>
          <w:r>
            <w:tab/>
          </w:r>
          <w:r>
            <w:fldChar w:fldCharType="begin"/>
          </w:r>
          <w:r>
            <w:instrText xml:space="preserve"> PAGEREF _Toc20756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F6D21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存在问题与改进措施</w:t>
          </w:r>
          <w:r>
            <w:tab/>
          </w:r>
          <w:r>
            <w:fldChar w:fldCharType="begin"/>
          </w:r>
          <w:r>
            <w:instrText xml:space="preserve"> PAGEREF _Toc21511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A5EBD0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存在的主要问题</w:t>
          </w:r>
          <w:r>
            <w:tab/>
          </w:r>
          <w:r>
            <w:fldChar w:fldCharType="begin"/>
          </w:r>
          <w:r>
            <w:instrText xml:space="preserve"> PAGEREF _Toc24409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6E991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改进措施</w:t>
          </w:r>
          <w:r>
            <w:tab/>
          </w:r>
          <w:r>
            <w:fldChar w:fldCharType="begin"/>
          </w:r>
          <w:r>
            <w:instrText xml:space="preserve"> PAGEREF _Toc25173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68DA79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下阶段工作计划</w:t>
          </w:r>
          <w:r>
            <w:tab/>
          </w:r>
          <w:r>
            <w:fldChar w:fldCharType="begin"/>
          </w:r>
          <w:r>
            <w:instrText xml:space="preserve"> PAGEREF _Toc1592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523023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下阶段工作重点</w:t>
          </w:r>
          <w:r>
            <w:tab/>
          </w:r>
          <w:r>
            <w:fldChar w:fldCharType="begin"/>
          </w:r>
          <w:r>
            <w:instrText xml:space="preserve"> PAGEREF _Toc252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A4D7EB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下阶段工作安排</w:t>
          </w:r>
          <w:r>
            <w:tab/>
          </w:r>
          <w:r>
            <w:fldChar w:fldCharType="begin"/>
          </w:r>
          <w:r>
            <w:instrText xml:space="preserve"> PAGEREF _Toc22169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5A0EA5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总结</w:t>
          </w:r>
          <w:r>
            <w:tab/>
          </w:r>
          <w:r>
            <w:fldChar w:fldCharType="begin"/>
          </w:r>
          <w:r>
            <w:instrText xml:space="preserve"> PAGEREF _Toc22643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EBF170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1BFFF4D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3D5129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_Toc19638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_Toc19638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287126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_Toc12980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r>
        <w:tab/>
      </w:r>
      <w:r>
        <w:fldChar w:fldCharType="begin"/>
      </w:r>
      <w:r>
        <w:instrText xml:space="preserve"> PAGEREF _Toc12980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EC5405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_Toc19859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r>
        <w:tab/>
      </w:r>
      <w:r>
        <w:fldChar w:fldCharType="begin"/>
      </w:r>
      <w:r>
        <w:instrText xml:space="preserve"> PAGEREF _Toc19859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6A1AE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_Toc20070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r>
        <w:tab/>
      </w:r>
      <w:r>
        <w:fldChar w:fldCharType="begin"/>
      </w:r>
      <w:r>
        <w:instrText xml:space="preserve"> PAGEREF _Toc20070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B0B248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_Toc21312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r>
        <w:tab/>
      </w:r>
      <w:r>
        <w:fldChar w:fldCharType="begin"/>
      </w:r>
      <w:r>
        <w:instrText xml:space="preserve"> PAGEREF _Toc21312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EFCC6C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_Toc4681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r>
        <w:tab/>
      </w:r>
      <w:r>
        <w:fldChar w:fldCharType="begin"/>
      </w:r>
      <w:r>
        <w:instrText xml:space="preserve"> PAGEREF _Toc4681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361D8B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_Toc30357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r>
        <w:tab/>
      </w:r>
      <w:r>
        <w:fldChar w:fldCharType="begin"/>
      </w:r>
      <w:r>
        <w:instrText xml:space="preserve"> PAGEREF _Toc30357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7897CD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_Toc1182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r>
        <w:tab/>
      </w:r>
      <w:r>
        <w:fldChar w:fldCharType="begin"/>
      </w:r>
      <w:r>
        <w:instrText xml:space="preserve"> PAGEREF _Toc1182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F42AB1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_Toc19336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_Toc19336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C6BCD5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_Toc4510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2026年度运维计划表</w:t>
      </w:r>
      <w:r>
        <w:tab/>
      </w:r>
      <w:r>
        <w:fldChar w:fldCharType="begin"/>
      </w:r>
      <w:r>
        <w:instrText xml:space="preserve"> PAGEREF _Toc4510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869E31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5718346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F88BA44">
      <w:pPr>
        <w:pStyle w:val="31"/>
        <w:bidi w:val="0"/>
        <w:rPr>
          <w:rFonts w:hint="default"/>
          <w:lang w:val="en-US" w:eastAsia="zh-CN"/>
        </w:rPr>
      </w:pPr>
      <w:bookmarkStart w:id="1" w:name="_Toc11154"/>
      <w:r>
        <w:rPr>
          <w:rFonts w:hint="default"/>
          <w:lang w:val="en-US" w:eastAsia="zh-CN"/>
        </w:rPr>
        <w:t>报告概述</w:t>
      </w:r>
      <w:bookmarkEnd w:id="1"/>
    </w:p>
    <w:p w14:paraId="7D5B4701">
      <w:pPr>
        <w:pStyle w:val="33"/>
        <w:bidi w:val="0"/>
        <w:rPr>
          <w:rFonts w:hint="default"/>
          <w:lang w:val="en-US" w:eastAsia="zh-CN"/>
        </w:rPr>
      </w:pPr>
      <w:bookmarkStart w:id="2" w:name="_Toc7596"/>
      <w:r>
        <w:rPr>
          <w:rFonts w:hint="default"/>
          <w:lang w:val="en-US" w:eastAsia="zh-CN"/>
        </w:rPr>
        <w:t>报告基本信息</w:t>
      </w:r>
      <w:bookmarkEnd w:id="2"/>
    </w:p>
    <w:p w14:paraId="26E3EFA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1925"/>
      <w:bookmarkStart w:id="4" w:name="_Toc30342"/>
      <w:bookmarkStart w:id="5" w:name="_Toc16208"/>
      <w:bookmarkStart w:id="6" w:name="_Toc19638"/>
      <w:r>
        <w:rPr>
          <w:rFonts w:hint="eastAsia"/>
          <w:lang w:val="en-US" w:eastAsia="zh-CN"/>
        </w:rPr>
        <w:t xml:space="preserve"> 项目基本信息表</w:t>
      </w:r>
      <w:bookmarkEnd w:id="3"/>
      <w:bookmarkEnd w:id="4"/>
      <w:bookmarkEnd w:id="5"/>
      <w:bookmarkEnd w:id="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6102"/>
      </w:tblGrid>
      <w:tr w14:paraId="3D4D8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D5F52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1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9B97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 w14:paraId="6AD24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D8415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83917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国泰新点大OA系统运维服务项目</w:t>
            </w:r>
          </w:p>
        </w:tc>
      </w:tr>
      <w:tr w14:paraId="4F2DE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67353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BA03A9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2026年1月1日至2026年7月31日</w:t>
            </w:r>
          </w:p>
        </w:tc>
      </w:tr>
      <w:tr w14:paraId="578C2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2C141B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426EE6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阶段性总结报告</w:t>
            </w:r>
          </w:p>
        </w:tc>
      </w:tr>
      <w:tr w14:paraId="2169F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2345C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0DB2D8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</w:tr>
      <w:tr w14:paraId="67FB8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3DC37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报告审核人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D9915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</w:tr>
    </w:tbl>
    <w:p w14:paraId="4319E8D4">
      <w:pPr>
        <w:pStyle w:val="3"/>
        <w:bidi w:val="0"/>
        <w:rPr>
          <w:rFonts w:hint="default"/>
          <w:lang w:val="en-US" w:eastAsia="zh-CN"/>
        </w:rPr>
      </w:pPr>
      <w:bookmarkStart w:id="7" w:name="_Toc26416"/>
      <w:r>
        <w:rPr>
          <w:rFonts w:hint="default"/>
          <w:lang w:val="en-US" w:eastAsia="zh-CN"/>
        </w:rPr>
        <w:t>报告目的</w:t>
      </w:r>
      <w:bookmarkEnd w:id="7"/>
    </w:p>
    <w:p w14:paraId="4E2C914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国泰新点大OA系统运维服务项目》项目自合同生效以来至2026年7月31日的实施与运维情况，回顾项目各阶段工作完成情况，评估服务质量目标达成情况，分析存在的问题，提出改进措施，并为下一阶段工作提供指导。</w:t>
      </w:r>
    </w:p>
    <w:p w14:paraId="386EFA05">
      <w:pPr>
        <w:pStyle w:val="31"/>
        <w:bidi w:val="0"/>
        <w:rPr>
          <w:rFonts w:hint="default"/>
          <w:lang w:val="en-US" w:eastAsia="zh-CN"/>
        </w:rPr>
      </w:pPr>
      <w:bookmarkStart w:id="8" w:name="_Toc19482"/>
      <w:r>
        <w:rPr>
          <w:rFonts w:hint="default"/>
          <w:lang w:val="en-US" w:eastAsia="zh-CN"/>
        </w:rPr>
        <w:t>项目实施情况总结</w:t>
      </w:r>
      <w:bookmarkEnd w:id="8"/>
    </w:p>
    <w:p w14:paraId="573531C8">
      <w:pPr>
        <w:pStyle w:val="33"/>
        <w:bidi w:val="0"/>
        <w:rPr>
          <w:rFonts w:hint="default"/>
          <w:lang w:val="en-US" w:eastAsia="zh-CN"/>
        </w:rPr>
      </w:pPr>
      <w:bookmarkStart w:id="9" w:name="_Toc13868"/>
      <w:r>
        <w:rPr>
          <w:rFonts w:hint="default"/>
          <w:lang w:val="en-US" w:eastAsia="zh-CN"/>
        </w:rPr>
        <w:t>项目整体进展</w:t>
      </w:r>
      <w:bookmarkEnd w:id="9"/>
    </w:p>
    <w:p w14:paraId="50D8E84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，项目按照《年度实施与运维计划》有序推进，已完成项目启动、现状调研、运维部署、人员培训、试运行五个阶段工作，运维服务体系已于合同生效后第14周正式投入运行，目前处于正式运维阶段。</w:t>
      </w:r>
    </w:p>
    <w:p w14:paraId="53D4B88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1298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bookmarkEnd w:id="1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453"/>
        <w:gridCol w:w="1926"/>
        <w:gridCol w:w="1571"/>
        <w:gridCol w:w="1327"/>
      </w:tblGrid>
      <w:tr w14:paraId="76A57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A427D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4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C72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19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7EC2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实际完成时间</w:t>
            </w:r>
          </w:p>
        </w:tc>
        <w:tc>
          <w:tcPr>
            <w:tcW w:w="15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ECC6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237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4B56E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6BED1B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49FE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8E3E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9C5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1191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40389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4B3B3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M2：现状调研完成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273E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54E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BC69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33BC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5A14A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D9773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M3：运维部署完成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7060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B67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207C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7B879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4FAAC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D00DA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ACD7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AD64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5238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02540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44D97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D0B2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E168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BCF4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2681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142D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013F3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6DA7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M6：服务验收完成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2D7C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3C33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8E3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A9057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3C4D1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5A3E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314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8DB7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按时提交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40DF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16CA2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已完成2次</w:t>
            </w:r>
          </w:p>
        </w:tc>
      </w:tr>
      <w:tr w14:paraId="369D6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5AB5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M8：半年度服务总结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8323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EC7E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8C8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B821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</w:t>
            </w:r>
          </w:p>
        </w:tc>
      </w:tr>
    </w:tbl>
    <w:p w14:paraId="12CA8182">
      <w:pPr>
        <w:pStyle w:val="33"/>
        <w:bidi w:val="0"/>
        <w:rPr>
          <w:rFonts w:hint="default"/>
          <w:lang w:val="en-US" w:eastAsia="zh-CN"/>
        </w:rPr>
      </w:pPr>
      <w:bookmarkStart w:id="11" w:name="_Toc22008"/>
      <w:r>
        <w:rPr>
          <w:rFonts w:hint="default"/>
          <w:lang w:val="en-US" w:eastAsia="zh-CN"/>
        </w:rPr>
        <w:t>各阶段工作回顾</w:t>
      </w:r>
      <w:bookmarkEnd w:id="11"/>
    </w:p>
    <w:p w14:paraId="78C846C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项目启动阶段。完成了项目团队组建，召开了项目启动会，明确了项目目标、服务范围、计划和沟通机制。双方项目组建立了良好的协作关系，为后续工作顺利开展奠定了基础。</w:t>
      </w:r>
    </w:p>
    <w:p w14:paraId="3A03060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状调研阶段。深入调研了甲方4套达梦数据库、7套东方通中间件的部署架构和运行现状，确认了运维服务清单和SLA指标，完成了运行环境检查，明确了备份与恢复方案。运维服务确认书经双方确认，为运维服务开展提供了明确依据。</w:t>
      </w:r>
    </w:p>
    <w:p w14:paraId="46FF0FD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运维部署阶段。完成了服务器环境检查、网络连通性测试、监控工具部署配置、备份策略配置验证和监控功能验证。运维部署报告显示，监控告警功能运行正常，满足运维需求。</w:t>
      </w:r>
    </w:p>
    <w:p w14:paraId="2EE404F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人员培训阶段。编写了运维服务手册和培训材料，组织运维人员培训和应急响应培训，参训人员覆盖率达到100%。培训效果评估显示，参训人员能够独立完成日常运维操作，培训效果良好。</w:t>
      </w:r>
    </w:p>
    <w:p w14:paraId="7BDEB31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试运行阶段。运维服务体系正式上线运行，经过4周试运行监控，数据库、中间件运行稳定，用户反馈问题及时处理，试运行报告显示运维服务具备正式运行条件。</w:t>
      </w:r>
    </w:p>
    <w:p w14:paraId="3CD94A3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正式运维阶段。自服务验收后进入正式运维阶段，按计划开展日常运维、巡检监控、故障处理、服务报告等工作，数据库、中间件运行平稳。</w:t>
      </w:r>
    </w:p>
    <w:p w14:paraId="6C7FAF0A">
      <w:pPr>
        <w:pStyle w:val="31"/>
        <w:bidi w:val="0"/>
        <w:rPr>
          <w:rFonts w:hint="default"/>
          <w:lang w:val="en-US" w:eastAsia="zh-CN"/>
        </w:rPr>
      </w:pPr>
      <w:bookmarkStart w:id="12" w:name="_Toc9021"/>
      <w:r>
        <w:rPr>
          <w:rFonts w:hint="default"/>
          <w:lang w:val="en-US" w:eastAsia="zh-CN"/>
        </w:rPr>
        <w:t>运维服务执行情况</w:t>
      </w:r>
      <w:bookmarkEnd w:id="12"/>
    </w:p>
    <w:p w14:paraId="22CA1D99">
      <w:pPr>
        <w:pStyle w:val="33"/>
        <w:bidi w:val="0"/>
        <w:rPr>
          <w:rFonts w:hint="default"/>
          <w:lang w:val="en-US" w:eastAsia="zh-CN"/>
        </w:rPr>
      </w:pPr>
      <w:bookmarkStart w:id="13" w:name="_Toc8543"/>
      <w:r>
        <w:rPr>
          <w:rFonts w:hint="default"/>
          <w:lang w:val="en-US" w:eastAsia="zh-CN"/>
        </w:rPr>
        <w:t>日常运维执行情况</w:t>
      </w:r>
      <w:bookmarkEnd w:id="13"/>
    </w:p>
    <w:p w14:paraId="2DF37F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1985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bookmarkEnd w:id="1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 w14:paraId="082C1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24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6B6E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3CD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C84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FF2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15C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0116B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A9A5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数据库运行状态检查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F78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A38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D00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0612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1800F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02A6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服务器状态监控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9F7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0C8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368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1A67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1693A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636F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网络连通性测试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96B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E86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12A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300EC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20349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C95D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数据备份执行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409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C63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F8D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1FF26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 w14:paraId="477AA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4F96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数据库、中间件健康检查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FD0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C31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30次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731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9D73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2FD61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1DDC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系统日志分析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679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E9A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30次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F4E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F14C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05AB1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79DF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服务台事件处理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5F0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按需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216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18次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4B2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D2B5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全部处理</w:t>
            </w:r>
          </w:p>
        </w:tc>
      </w:tr>
      <w:tr w14:paraId="1251B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440D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963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029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30次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74A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543C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 w14:paraId="1F43A08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4E072F77">
      <w:pPr>
        <w:pStyle w:val="33"/>
        <w:bidi w:val="0"/>
        <w:rPr>
          <w:rFonts w:hint="default"/>
          <w:lang w:val="en-US" w:eastAsia="zh-CN"/>
        </w:rPr>
      </w:pPr>
      <w:bookmarkStart w:id="15" w:name="_Toc29015"/>
      <w:r>
        <w:rPr>
          <w:rFonts w:hint="default"/>
          <w:lang w:val="en-US" w:eastAsia="zh-CN"/>
        </w:rPr>
        <w:t>月度运维工作执行情况</w:t>
      </w:r>
      <w:bookmarkEnd w:id="15"/>
    </w:p>
    <w:p w14:paraId="07D71FF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2007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bookmarkEnd w:id="1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 w14:paraId="6FB9C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854A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DC4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46C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477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BD5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60FE8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245C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系统补丁更新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351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492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C4C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D628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37783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FABD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数据库健康检查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7FE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69F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7A4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EADA8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1B6FE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08D0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37A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384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0BD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34BA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 w14:paraId="261A3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0A27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月度可用性统计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F70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D08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09F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D5F2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1AF51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8659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月度运维服务报告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990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00C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6BD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DB98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全部提交</w:t>
            </w:r>
          </w:p>
        </w:tc>
      </w:tr>
    </w:tbl>
    <w:p w14:paraId="0D3B18B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23A4ACF2">
      <w:pPr>
        <w:pStyle w:val="33"/>
        <w:bidi w:val="0"/>
        <w:rPr>
          <w:rFonts w:hint="default"/>
          <w:lang w:val="en-US" w:eastAsia="zh-CN"/>
        </w:rPr>
      </w:pPr>
      <w:bookmarkStart w:id="17" w:name="_Toc28106"/>
      <w:r>
        <w:rPr>
          <w:rFonts w:hint="default"/>
          <w:lang w:val="en-US" w:eastAsia="zh-CN"/>
        </w:rPr>
        <w:t>季度运维工作执行情况</w:t>
      </w:r>
      <w:bookmarkEnd w:id="17"/>
    </w:p>
    <w:p w14:paraId="76A58F0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8" w:name="_Toc2131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bookmarkEnd w:id="18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1713"/>
        <w:gridCol w:w="1713"/>
        <w:gridCol w:w="1437"/>
        <w:gridCol w:w="1413"/>
      </w:tblGrid>
      <w:tr w14:paraId="0430C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8A48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84F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160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BD5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4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CC6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61903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292CB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系统性能评估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ADE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80F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F92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0C0B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7CE5F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57A5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容量分析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10A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5FA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B7A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4018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4FFA3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3965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D13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31F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D0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35E4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78860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16D0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服务改进计划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FDC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67F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6D0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3FF1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4EA2B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6596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硬件设备巡检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0AC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61D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3B0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F67C6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 w14:paraId="4EECCF6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207215A6">
      <w:pPr>
        <w:pStyle w:val="33"/>
        <w:bidi w:val="0"/>
        <w:rPr>
          <w:rFonts w:hint="default"/>
          <w:lang w:val="en-US" w:eastAsia="zh-CN"/>
        </w:rPr>
      </w:pPr>
      <w:bookmarkStart w:id="19" w:name="_Toc4365"/>
      <w:r>
        <w:rPr>
          <w:rFonts w:hint="default"/>
          <w:lang w:val="en-US" w:eastAsia="zh-CN"/>
        </w:rPr>
        <w:t>服务台运行情况</w:t>
      </w:r>
      <w:bookmarkEnd w:id="19"/>
    </w:p>
    <w:p w14:paraId="091CAFF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0" w:name="_Toc468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bookmarkEnd w:id="2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194"/>
        <w:gridCol w:w="3373"/>
      </w:tblGrid>
      <w:tr w14:paraId="39C2D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9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9126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统计项</w:t>
            </w:r>
          </w:p>
        </w:tc>
        <w:tc>
          <w:tcPr>
            <w:tcW w:w="21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A05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数量</w:t>
            </w:r>
          </w:p>
        </w:tc>
        <w:tc>
          <w:tcPr>
            <w:tcW w:w="33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73B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31D9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ECF7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受理事件总数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2CA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18件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6AA66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全部为一般事件</w:t>
            </w:r>
          </w:p>
        </w:tc>
      </w:tr>
      <w:tr w14:paraId="76BDC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92E4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事件解决率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774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A07B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全部按时解决</w:t>
            </w:r>
          </w:p>
        </w:tc>
      </w:tr>
      <w:tr w14:paraId="447C2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C5E0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D92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865D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 w14:paraId="101DF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556B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平均解决时间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1E4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35分钟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DD52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 w14:paraId="28CE4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6506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客户回访率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E1D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F1A9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全部完成回访</w:t>
            </w:r>
          </w:p>
        </w:tc>
      </w:tr>
      <w:tr w14:paraId="111F8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3828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084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92分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2D26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高于目标值</w:t>
            </w:r>
          </w:p>
        </w:tc>
      </w:tr>
    </w:tbl>
    <w:p w14:paraId="6ADF0CD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290C303A">
      <w:pPr>
        <w:pStyle w:val="31"/>
        <w:bidi w:val="0"/>
        <w:rPr>
          <w:rFonts w:hint="default"/>
          <w:lang w:val="en-US" w:eastAsia="zh-CN"/>
        </w:rPr>
      </w:pPr>
      <w:bookmarkStart w:id="21" w:name="_Toc1116"/>
      <w:r>
        <w:rPr>
          <w:rFonts w:hint="default"/>
          <w:lang w:val="en-US" w:eastAsia="zh-CN"/>
        </w:rPr>
        <w:t>质量目标达成情况</w:t>
      </w:r>
      <w:bookmarkEnd w:id="21"/>
    </w:p>
    <w:p w14:paraId="0C9DDC89">
      <w:pPr>
        <w:pStyle w:val="33"/>
        <w:bidi w:val="0"/>
        <w:rPr>
          <w:rFonts w:hint="default"/>
          <w:lang w:val="en-US" w:eastAsia="zh-CN"/>
        </w:rPr>
      </w:pPr>
      <w:bookmarkStart w:id="22" w:name="_Toc24149"/>
      <w:r>
        <w:rPr>
          <w:rFonts w:hint="default"/>
          <w:lang w:val="en-US" w:eastAsia="zh-CN"/>
        </w:rPr>
        <w:t>可用性目标达成情况</w:t>
      </w:r>
      <w:bookmarkEnd w:id="22"/>
    </w:p>
    <w:p w14:paraId="6BDA28A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3035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bookmarkEnd w:id="2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762"/>
        <w:gridCol w:w="1762"/>
        <w:gridCol w:w="1516"/>
        <w:gridCol w:w="2234"/>
      </w:tblGrid>
      <w:tr w14:paraId="39280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1848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服务类型</w:t>
            </w:r>
          </w:p>
        </w:tc>
        <w:tc>
          <w:tcPr>
            <w:tcW w:w="17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1C5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</w:t>
            </w:r>
          </w:p>
        </w:tc>
        <w:tc>
          <w:tcPr>
            <w:tcW w:w="17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860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实际可用性</w:t>
            </w:r>
          </w:p>
        </w:tc>
        <w:tc>
          <w:tcPr>
            <w:tcW w:w="15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F47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2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96E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2438F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048C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大OA系统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94E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D89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1D3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B040E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本报告期无计划外中断</w:t>
            </w:r>
          </w:p>
        </w:tc>
      </w:tr>
      <w:tr w14:paraId="1373A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E330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4FA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F8C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877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6595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本报告期无计划外中断</w:t>
            </w:r>
          </w:p>
        </w:tc>
      </w:tr>
      <w:tr w14:paraId="773C2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5FA51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6D7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≥99.0%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CB3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229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CB86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本报告期无计划外中断</w:t>
            </w:r>
          </w:p>
        </w:tc>
      </w:tr>
      <w:tr w14:paraId="3CF7D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A67D8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中间件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DA8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1B6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F1F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1AE8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本报告期无计划外中断</w:t>
            </w:r>
          </w:p>
        </w:tc>
      </w:tr>
      <w:tr w14:paraId="17E8D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5CF7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43D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239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91E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1F6A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本报告期无计划外中断</w:t>
            </w:r>
          </w:p>
        </w:tc>
      </w:tr>
    </w:tbl>
    <w:p w14:paraId="36DFFAD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41E4290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中断事件统计：本报告期内，计划内中断共计2次，总时长40分钟，均在客户确认的维护窗口内完成；计划外中断0次，本报告期无计划外服务中断。</w:t>
      </w:r>
    </w:p>
    <w:p w14:paraId="4791F9BB">
      <w:pPr>
        <w:pStyle w:val="33"/>
        <w:bidi w:val="0"/>
        <w:rPr>
          <w:rFonts w:hint="default"/>
          <w:lang w:val="en-US" w:eastAsia="zh-CN"/>
        </w:rPr>
      </w:pPr>
      <w:bookmarkStart w:id="24" w:name="_Toc4907"/>
      <w:r>
        <w:rPr>
          <w:rFonts w:hint="default"/>
          <w:lang w:val="en-US" w:eastAsia="zh-CN"/>
        </w:rPr>
        <w:t>服务质量目标达成情况</w:t>
      </w:r>
      <w:bookmarkEnd w:id="24"/>
    </w:p>
    <w:p w14:paraId="744F6B4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118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bookmarkEnd w:id="2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6"/>
        <w:gridCol w:w="1927"/>
        <w:gridCol w:w="1899"/>
        <w:gridCol w:w="1900"/>
      </w:tblGrid>
      <w:tr w14:paraId="27A03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ADBD4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9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D04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8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F46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实际达成</w:t>
            </w:r>
          </w:p>
        </w:tc>
        <w:tc>
          <w:tcPr>
            <w:tcW w:w="19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66F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</w:tr>
      <w:tr w14:paraId="37E70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D840C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5F5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514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7EF8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 w14:paraId="34BE1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AC7BC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故障响应时间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3FF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工作日10分钟/非工作日30分钟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4F9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BBBE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 w14:paraId="3E009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13BD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培训覆盖率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969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C76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BA0CF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 w14:paraId="5C3AC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C9BE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385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≥90分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FB9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92分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9D74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 w14:paraId="35602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0471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重大服务中断事件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FB5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FA4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7119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</w:tbl>
    <w:p w14:paraId="28C3071A">
      <w:pPr>
        <w:pStyle w:val="33"/>
        <w:bidi w:val="0"/>
        <w:rPr>
          <w:rFonts w:hint="default"/>
          <w:lang w:val="en-US" w:eastAsia="zh-CN"/>
        </w:rPr>
      </w:pPr>
      <w:bookmarkStart w:id="26" w:name="_Toc20756"/>
      <w:r>
        <w:rPr>
          <w:rFonts w:hint="default"/>
          <w:lang w:val="en-US" w:eastAsia="zh-CN"/>
        </w:rPr>
        <w:t>服务报告提交情况</w:t>
      </w:r>
      <w:bookmarkEnd w:id="26"/>
    </w:p>
    <w:p w14:paraId="636F398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本报告期内，按时提交各类服务报告共计14份，包括：</w:t>
      </w:r>
    </w:p>
    <w:p w14:paraId="18B38962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月度运维服务报告：7份</w:t>
      </w:r>
    </w:p>
    <w:p w14:paraId="504B84AB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季度运维服务报告：2份</w:t>
      </w:r>
    </w:p>
    <w:p w14:paraId="643C323A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半年度满意度调查报告：1份</w:t>
      </w:r>
    </w:p>
    <w:p w14:paraId="62C67046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季度性能评估报告：2份</w:t>
      </w:r>
    </w:p>
    <w:p w14:paraId="182C7BED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半年度可用性报告：1份</w:t>
      </w:r>
    </w:p>
    <w:p w14:paraId="0BFBE71D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阶段性</w:t>
      </w:r>
      <w:r>
        <w:rPr>
          <w:rFonts w:hint="default"/>
          <w:lang w:val="en-US" w:eastAsia="zh-CN"/>
        </w:rPr>
        <w:t>服务总结报告：1份（本报告）</w:t>
      </w:r>
    </w:p>
    <w:p w14:paraId="14509626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所有报告均在规定时间内提交，报告内容完整、数据准确，获得甲方认可。</w:t>
      </w:r>
    </w:p>
    <w:p w14:paraId="4C40C81E">
      <w:pPr>
        <w:pStyle w:val="31"/>
        <w:bidi w:val="0"/>
        <w:rPr>
          <w:rFonts w:hint="default"/>
          <w:lang w:val="en-US" w:eastAsia="zh-CN"/>
        </w:rPr>
      </w:pPr>
      <w:bookmarkStart w:id="27" w:name="_Toc21511"/>
      <w:r>
        <w:rPr>
          <w:rFonts w:hint="default"/>
          <w:lang w:val="en-US" w:eastAsia="zh-CN"/>
        </w:rPr>
        <w:t>存在问题与改进措施</w:t>
      </w:r>
      <w:bookmarkEnd w:id="27"/>
    </w:p>
    <w:p w14:paraId="104E393C">
      <w:pPr>
        <w:pStyle w:val="33"/>
        <w:bidi w:val="0"/>
        <w:rPr>
          <w:rFonts w:hint="default"/>
          <w:lang w:val="en-US" w:eastAsia="zh-CN"/>
        </w:rPr>
      </w:pPr>
      <w:bookmarkStart w:id="28" w:name="_Toc24409"/>
      <w:r>
        <w:rPr>
          <w:rFonts w:hint="default"/>
          <w:lang w:val="en-US" w:eastAsia="zh-CN"/>
        </w:rPr>
        <w:t>存在的主要问题</w:t>
      </w:r>
      <w:bookmarkEnd w:id="28"/>
    </w:p>
    <w:p w14:paraId="3BA47F3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问题一：数据库性能波动问题。个别时段达梦数据库出现查询性能波动，通过参数优化和索引调整得到改善。本报告期共发生数据库性能波动2次，虽已及时解决，但性能优化仍需持续关注。</w:t>
      </w:r>
    </w:p>
    <w:p w14:paraId="2D905CE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问题二：中间件版本升级协调。东方通中间件存在版本升级需求，升级窗口需与甲方业务低谷期协调，个别升级因业务安排适当延后，但未影响系统运行。</w:t>
      </w:r>
    </w:p>
    <w:p w14:paraId="13F3684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问题三：监控告警阈值需优化。个别监控项告警阈值设置不够精准，产生少量无效告警，需结合运行数据持续优化告警阈值。</w:t>
      </w:r>
    </w:p>
    <w:p w14:paraId="59CD2DF7">
      <w:pPr>
        <w:pStyle w:val="33"/>
        <w:bidi w:val="0"/>
        <w:rPr>
          <w:rFonts w:hint="default"/>
          <w:lang w:val="en-US" w:eastAsia="zh-CN"/>
        </w:rPr>
      </w:pPr>
      <w:bookmarkStart w:id="29" w:name="_Toc25173"/>
      <w:r>
        <w:rPr>
          <w:rFonts w:hint="default"/>
          <w:lang w:val="en-US" w:eastAsia="zh-CN"/>
        </w:rPr>
        <w:t>改进措施</w:t>
      </w:r>
      <w:bookmarkEnd w:id="29"/>
    </w:p>
    <w:p w14:paraId="056083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19336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3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78"/>
        <w:gridCol w:w="3780"/>
        <w:gridCol w:w="1220"/>
        <w:gridCol w:w="1466"/>
      </w:tblGrid>
      <w:tr w14:paraId="1FC64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693F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6A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7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4AC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EF8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4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759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 w14:paraId="10D82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1DE9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965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数据库性能波动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119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评估数据库性能优化需求，持续优化参数配置和索引策略；加强监控，缩短故障发现时间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E38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AB05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  <w:tr w14:paraId="00FFA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27B0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F49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中间件版本升级协调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F9E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组织中间件版本升级专项评估，与甲方协调升级窗口，制定升级方案和回退预案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7B6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20C73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  <w:tr w14:paraId="23E31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8DE4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762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监控告警阈值优化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E86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加强网络监控，建立网络性能基线；优化告警阈值，减少无效告警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9E6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9641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 w14:paraId="1F128E9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194B9F4A">
      <w:pPr>
        <w:pStyle w:val="31"/>
        <w:bidi w:val="0"/>
        <w:rPr>
          <w:rFonts w:hint="default"/>
          <w:lang w:val="en-US" w:eastAsia="zh-CN"/>
        </w:rPr>
      </w:pPr>
      <w:bookmarkStart w:id="31" w:name="_Toc1592"/>
      <w:r>
        <w:rPr>
          <w:rFonts w:hint="default"/>
          <w:lang w:val="en-US" w:eastAsia="zh-CN"/>
        </w:rPr>
        <w:t>下阶段工作计划</w:t>
      </w:r>
      <w:bookmarkEnd w:id="31"/>
    </w:p>
    <w:p w14:paraId="7B20EE02">
      <w:pPr>
        <w:pStyle w:val="33"/>
        <w:bidi w:val="0"/>
        <w:rPr>
          <w:rFonts w:hint="default"/>
          <w:lang w:val="en-US" w:eastAsia="zh-CN"/>
        </w:rPr>
      </w:pPr>
      <w:bookmarkStart w:id="32" w:name="_Toc252"/>
      <w:r>
        <w:rPr>
          <w:rFonts w:hint="default"/>
          <w:lang w:val="en-US" w:eastAsia="zh-CN"/>
        </w:rPr>
        <w:t>下阶段工作重点</w:t>
      </w:r>
      <w:bookmarkEnd w:id="32"/>
    </w:p>
    <w:p w14:paraId="6797E08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持续运维保障：继续执行日常运维、巡检监控、故障处理等工作，确保系统稳定运行</w:t>
      </w:r>
    </w:p>
    <w:p w14:paraId="3968F09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版本升级支持：配合甲方评估数据库、中间件版本升级需求，提供技术支持和方案建议</w:t>
      </w:r>
    </w:p>
    <w:p w14:paraId="72F0155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告警优化：持续优化监控告警阈值，减少无效告警，提升监控精准度</w:t>
      </w:r>
    </w:p>
    <w:p w14:paraId="4E0878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性能优化：持续开展数据库、中间件性能优化，提升系统响应效率</w:t>
      </w:r>
    </w:p>
    <w:p w14:paraId="2A27EAD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服务改进：根据满意度调查结果，持续优化服务质量</w:t>
      </w:r>
    </w:p>
    <w:p w14:paraId="1D3B0112">
      <w:pPr>
        <w:pStyle w:val="33"/>
        <w:bidi w:val="0"/>
        <w:rPr>
          <w:rFonts w:hint="default"/>
          <w:lang w:val="en-US" w:eastAsia="zh-CN"/>
        </w:rPr>
      </w:pPr>
      <w:bookmarkStart w:id="33" w:name="_Toc22169"/>
      <w:r>
        <w:rPr>
          <w:rFonts w:hint="default"/>
          <w:lang w:val="en-US" w:eastAsia="zh-CN"/>
        </w:rPr>
        <w:t>下阶段工作安排</w:t>
      </w:r>
      <w:bookmarkEnd w:id="33"/>
    </w:p>
    <w:p w14:paraId="414D465E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4510"/>
      <w:r>
        <w:rPr>
          <w:rFonts w:hint="eastAsia"/>
          <w:lang w:val="en-US" w:eastAsia="zh-CN"/>
        </w:rPr>
        <w:t xml:space="preserve"> 2026年度运维计划表</w:t>
      </w:r>
      <w:bookmarkEnd w:id="3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1854"/>
        <w:gridCol w:w="1710"/>
        <w:gridCol w:w="2867"/>
      </w:tblGrid>
      <w:tr w14:paraId="75C28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42E6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工作内容</w:t>
            </w:r>
          </w:p>
        </w:tc>
        <w:tc>
          <w:tcPr>
            <w:tcW w:w="18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3FD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7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455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28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6CC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预期成果</w:t>
            </w:r>
          </w:p>
        </w:tc>
      </w:tr>
      <w:tr w14:paraId="5C99A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DC28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日常运维保障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E9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D15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23FC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系统可用性≥99.5%</w:t>
            </w:r>
          </w:p>
        </w:tc>
      </w:tr>
      <w:tr w14:paraId="04638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7CA4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版本升级支持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8FF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26F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AA3B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《版本升级建议报告》</w:t>
            </w:r>
          </w:p>
        </w:tc>
      </w:tr>
      <w:tr w14:paraId="084B5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94508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进阶运维培训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44B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7B5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0642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培训完成，技能提升</w:t>
            </w:r>
          </w:p>
        </w:tc>
      </w:tr>
      <w:tr w14:paraId="2E4B3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B2A1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告警阈值优化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E3F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873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6268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监控精准度提升</w:t>
            </w:r>
          </w:p>
        </w:tc>
      </w:tr>
      <w:tr w14:paraId="3E23F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7412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季度满意度调查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376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项目经理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A6E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A6AF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《满意度调查报告》</w:t>
            </w:r>
          </w:p>
        </w:tc>
      </w:tr>
    </w:tbl>
    <w:p w14:paraId="3C13F4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7B1558B4">
      <w:pPr>
        <w:pStyle w:val="31"/>
        <w:bidi w:val="0"/>
        <w:rPr>
          <w:rFonts w:hint="default"/>
          <w:lang w:val="en-US" w:eastAsia="zh-CN"/>
        </w:rPr>
      </w:pPr>
      <w:bookmarkStart w:id="35" w:name="_Toc22643"/>
      <w:r>
        <w:rPr>
          <w:rFonts w:hint="default"/>
          <w:lang w:val="en-US" w:eastAsia="zh-CN"/>
        </w:rPr>
        <w:t>总结</w:t>
      </w:r>
      <w:bookmarkEnd w:id="35"/>
    </w:p>
    <w:p w14:paraId="58A4331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至2026年7月31日，《国泰新点大OA系统运维服务项目》项目按照计划有序推进，已完成项目启动、现状调研、运维部署、人员培训、试运行五个阶段工作，运维服务体系正式投入运行并进入正式运维阶段。</w:t>
      </w:r>
    </w:p>
    <w:p w14:paraId="5865686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实施成果：所有里程碑节点按期完成，运维服务全面覆盖合同约定的4套达梦数据库、7套东方通中间件，培训覆盖率达到100%，参训人员能够独立完成运维操作，数据库、中间件运行稳定。</w:t>
      </w:r>
    </w:p>
    <w:p w14:paraId="6027B56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运维成果：本报告期可用性达到100%，优于合同约定的99.5%目标；计划外中断0次，重大服务中断事件0次；</w:t>
      </w:r>
      <w:bookmarkStart w:id="36" w:name="_GoBack"/>
      <w:bookmarkEnd w:id="36"/>
      <w:r>
        <w:rPr>
          <w:rFonts w:hint="default"/>
          <w:lang w:val="en-US" w:eastAsia="zh-CN"/>
        </w:rPr>
        <w:t>所有服务报告按时提交，数据准确完整。</w:t>
      </w:r>
    </w:p>
    <w:p w14:paraId="4DF85FA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存在问题：数据库性能波动、中间件版本升级协调、监控告警阈值优化等问题已识别并制定改进措施。</w:t>
      </w:r>
    </w:p>
    <w:p w14:paraId="2AB2AE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下阶段工作：将持续做好运维保障工作，推进版本升级支持、告警优化、性能优化等改进措施，不断提升服务质量，确保数据库、中间件持续稳定运行，满足甲方业务需求。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2B24BE3"/>
    <w:multiLevelType w:val="singleLevel"/>
    <w:tmpl w:val="32B24B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D83868"/>
    <w:rsid w:val="157F7275"/>
    <w:rsid w:val="17351EB0"/>
    <w:rsid w:val="19C5529B"/>
    <w:rsid w:val="1E451F24"/>
    <w:rsid w:val="70DA28AE"/>
    <w:rsid w:val="71E35433"/>
    <w:rsid w:val="7953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3481</Words>
  <Characters>3876</Characters>
  <Lines>0</Lines>
  <Paragraphs>0</Paragraphs>
  <TotalTime>0</TotalTime>
  <ScaleCrop>false</ScaleCrop>
  <LinksUpToDate>false</LinksUpToDate>
  <CharactersWithSpaces>4254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2026-09-09T14:28:41Z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