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0"/>
        <w:bidi w:val="0"/>
        <w:rPr>
          <w:rFonts w:hint="eastAsia"/>
          <w:lang w:val="en-US" w:eastAsia="zh-CN"/>
        </w:rPr>
      </w:pPr>
      <w:bookmarkStart w:id="0" w:name="_Toc3156"/>
      <w:bookmarkStart w:id="1" w:name="_Toc6353"/>
      <w:r>
        <w:rPr>
          <w:rFonts w:hint="eastAsia"/>
          <w:lang w:val="en-US" w:eastAsia="zh-CN"/>
        </w:rPr>
        <w:t>‌数飞科技(宁波)有限公司</w:t>
      </w:r>
      <w:bookmarkEnd w:id="0"/>
      <w:bookmarkEnd w:id="1"/>
    </w:p>
    <w:p>
      <w:pPr>
        <w:pStyle w:val="a1"/>
        <w:bidi w:val="0"/>
        <w:rPr>
          <w:rFonts w:hint="eastAsia"/>
          <w:lang w:val="en-US" w:eastAsia="zh-CN"/>
        </w:rPr>
      </w:pPr>
      <w:bookmarkStart w:id="2" w:name="_Toc1198"/>
      <w:bookmarkStart w:id="3" w:name="_Toc10664"/>
      <w:r>
        <w:rPr>
          <w:rFonts w:hint="eastAsia"/>
          <w:lang w:val="en-US" w:eastAsia="zh-CN"/>
        </w:rPr>
        <w:t>组织级运维服务目录</w:t>
      </w:r>
      <w:bookmarkEnd w:id="2"/>
      <w:bookmarkEnd w:id="3"/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6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SFKJ-ITSS-0102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汪锦坤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汪锦坤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83513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bookmarkStart w:id="4" w:name="_Toc4510"/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_Toc6353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‌数飞科技(宁波)有限公司</w:t>
          </w:r>
          <w:r>
            <w:tab/>
          </w:r>
          <w:r>
            <w:fldChar w:fldCharType="begin"/>
          </w:r>
          <w:r>
            <w:instrText xml:space="preserve"> PAGEREF _Toc6353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_Toc1198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组织级运维服务目录</w:t>
          </w:r>
          <w:r>
            <w:tab/>
          </w:r>
          <w:r>
            <w:fldChar w:fldCharType="begin"/>
          </w:r>
          <w:r>
            <w:instrText xml:space="preserve"> PAGEREF _Toc1198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_Toc28413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术语和定义</w:t>
          </w:r>
          <w:r>
            <w:tab/>
          </w:r>
          <w:r>
            <w:fldChar w:fldCharType="begin"/>
          </w:r>
          <w:r>
            <w:instrText xml:space="preserve"> PAGEREF _Toc28413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_Toc25355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公司服务目录表汇总</w:t>
          </w:r>
          <w:r>
            <w:tab/>
          </w:r>
          <w:r>
            <w:fldChar w:fldCharType="begin"/>
          </w:r>
          <w:r>
            <w:instrText xml:space="preserve"> PAGEREF _Toc25355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_Toc30692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基础环境运维服务</w:t>
          </w:r>
          <w:r>
            <w:tab/>
          </w:r>
          <w:r>
            <w:fldChar w:fldCharType="begin"/>
          </w:r>
          <w:r>
            <w:instrText xml:space="preserve"> PAGEREF _Toc30692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_Toc2176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硬件运维服务</w:t>
          </w:r>
          <w:r>
            <w:tab/>
          </w:r>
          <w:r>
            <w:fldChar w:fldCharType="begin"/>
          </w:r>
          <w:r>
            <w:instrText xml:space="preserve"> PAGEREF _Toc2176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_Toc17060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软件运维服务</w:t>
          </w:r>
          <w:r>
            <w:tab/>
          </w:r>
          <w:r>
            <w:fldChar w:fldCharType="begin"/>
          </w:r>
          <w:r>
            <w:instrText xml:space="preserve"> PAGEREF _Toc17060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_Toc1021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组织级运维服务目录</w:t>
          </w:r>
          <w:r>
            <w:tab/>
          </w:r>
          <w:r>
            <w:fldChar w:fldCharType="begin"/>
          </w:r>
          <w:r>
            <w:instrText xml:space="preserve"> PAGEREF _Toc1021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rPr>
              <w:rFonts w:ascii="宋体" w:eastAsia="宋体" w:hAnsi="宋体" w:cs="Arial"/>
              <w:snapToGrid w:val="0"/>
              <w:color w:val="000000"/>
              <w:kern w:val="0"/>
              <w:sz w:val="21"/>
              <w:szCs w:val="21"/>
              <w:lang w:val="en-US" w:eastAsia="en-US" w:bidi="ar-SA"/>
            </w:rPr>
          </w:pPr>
          <w:r>
            <w:fldChar w:fldCharType="end"/>
          </w:r>
        </w:p>
      </w:sdtContent>
    </w:sdt>
    <w:p>
      <w:p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</w:p>
    <w:p>
      <w:p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</w:p>
    <w:p>
      <w: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eastAsia"/>
          <w:sz w:val="24"/>
          <w:szCs w:val="24"/>
          <w:lang w:val="en-US" w:eastAsia="zh-CN"/>
        </w:rPr>
      </w:pPr>
      <w:bookmarkEnd w:id="4"/>
      <w:bookmarkStart w:id="5" w:name="_Toc28413"/>
      <w:r>
        <w:rPr>
          <w:rFonts w:hint="eastAsia"/>
          <w:sz w:val="24"/>
          <w:szCs w:val="24"/>
          <w:lang w:val="en-US" w:eastAsia="zh-CN"/>
        </w:rPr>
        <w:t>术语和定义</w:t>
      </w:r>
      <w:bookmarkEnd w:id="5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27"/>
        <w:gridCol w:w="2019"/>
        <w:gridCol w:w="2805"/>
        <w:gridCol w:w="2471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22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CFCECE" w:themeFill="background2" w:themeFillShade="E5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服务目录标题</w:t>
            </w:r>
          </w:p>
        </w:tc>
        <w:tc>
          <w:tcPr>
            <w:tcW w:w="201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解释说明</w:t>
            </w:r>
          </w:p>
        </w:tc>
        <w:tc>
          <w:tcPr>
            <w:tcW w:w="280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内容说明</w:t>
            </w:r>
          </w:p>
        </w:tc>
        <w:tc>
          <w:tcPr>
            <w:tcW w:w="247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设计依据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2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服务类别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定义向客户提供的总体服务种类</w:t>
            </w:r>
          </w:p>
        </w:tc>
        <w:tc>
          <w:tcPr>
            <w:tcW w:w="280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分类为:基础环境运维服务/硬件运维服务/软件运维服务等</w:t>
            </w:r>
          </w:p>
        </w:tc>
        <w:tc>
          <w:tcPr>
            <w:tcW w:w="247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基于GB/T 29264标准，从整体上定义服务类别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2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服务范围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特指服务项下所界定的服务范围</w:t>
            </w:r>
          </w:p>
        </w:tc>
        <w:tc>
          <w:tcPr>
            <w:tcW w:w="280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如“硬件运维服务”下包括网络运维、主机运维、桌面运维等</w:t>
            </w:r>
          </w:p>
        </w:tc>
        <w:tc>
          <w:tcPr>
            <w:tcW w:w="247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从服务销售与购买的角度，需界定明确的服务范围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2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服务子类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对总体服务种类进行更细的分类</w:t>
            </w:r>
          </w:p>
        </w:tc>
        <w:tc>
          <w:tcPr>
            <w:tcW w:w="280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如:网络巡检服务/网络响应支持/网络优化改善</w:t>
            </w:r>
          </w:p>
        </w:tc>
        <w:tc>
          <w:tcPr>
            <w:tcW w:w="247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基于GB/T 29264标准，细化服务类别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2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服务名称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服务子类的具体名称</w:t>
            </w:r>
          </w:p>
        </w:tc>
        <w:tc>
          <w:tcPr>
            <w:tcW w:w="280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如:网络设备巡检服务</w:t>
            </w:r>
          </w:p>
        </w:tc>
        <w:tc>
          <w:tcPr>
            <w:tcW w:w="247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对服务子类的具体名称描述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2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服务对象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接受服务的具体设备或系统</w:t>
            </w:r>
          </w:p>
        </w:tc>
        <w:tc>
          <w:tcPr>
            <w:tcW w:w="280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如:路由器、交换机、服务器、桌面设备等</w:t>
            </w:r>
          </w:p>
        </w:tc>
        <w:tc>
          <w:tcPr>
            <w:tcW w:w="247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明确服务的具体对象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2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服务简介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针对服务范围内的服务所提供的具体服务活动</w:t>
            </w:r>
          </w:p>
        </w:tc>
        <w:tc>
          <w:tcPr>
            <w:tcW w:w="280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如:对网络设备进行定期巡检、状态监控</w:t>
            </w:r>
          </w:p>
        </w:tc>
        <w:tc>
          <w:tcPr>
            <w:tcW w:w="247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服务产品的内容组成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2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服务方式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定义向客户提供的服务支持方式</w:t>
            </w:r>
          </w:p>
        </w:tc>
        <w:tc>
          <w:tcPr>
            <w:tcW w:w="280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如:现场/远程</w:t>
            </w:r>
          </w:p>
        </w:tc>
        <w:tc>
          <w:tcPr>
            <w:tcW w:w="247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便于客户了解服务交付所提供的支持方式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2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服务级别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定义向客户提供的服务级别</w:t>
            </w:r>
          </w:p>
        </w:tc>
        <w:tc>
          <w:tcPr>
            <w:tcW w:w="280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分类为:高SLA-A/中SLA-B/低SLA-C</w:t>
            </w:r>
          </w:p>
        </w:tc>
        <w:tc>
          <w:tcPr>
            <w:tcW w:w="247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不同级别的服务产品对应不同的服务承诺与资源投入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2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交付成果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服务完成后提交的文档或记录</w:t>
            </w:r>
          </w:p>
        </w:tc>
        <w:tc>
          <w:tcPr>
            <w:tcW w:w="28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如:巡检单、服务报告</w:t>
            </w:r>
          </w:p>
        </w:tc>
        <w:tc>
          <w:tcPr>
            <w:tcW w:w="247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明确服务交付物</w:t>
            </w:r>
          </w:p>
        </w:tc>
      </w:tr>
    </w:tbl>
    <w:p>
      <w:pPr>
        <w:pStyle w:val="1"/>
        <w:bidi w:val="0"/>
        <w:rPr>
          <w:rFonts w:hint="eastAsia"/>
          <w:sz w:val="24"/>
          <w:szCs w:val="24"/>
          <w:lang w:val="en-US" w:eastAsia="zh-CN"/>
        </w:rPr>
      </w:pPr>
      <w:bookmarkStart w:id="6" w:name="_Toc25355"/>
      <w:r>
        <w:rPr>
          <w:rFonts w:hint="eastAsia"/>
          <w:sz w:val="24"/>
          <w:szCs w:val="24"/>
          <w:lang w:val="en-US" w:eastAsia="zh-CN"/>
        </w:rPr>
        <w:t>公司服务目录表汇总</w:t>
      </w:r>
      <w:bookmarkEnd w:id="6"/>
    </w:p>
    <w:p>
      <w:pPr>
        <w:pStyle w:val="2"/>
        <w:bidi w:val="0"/>
        <w:rPr>
          <w:rFonts w:hint="eastAsia"/>
          <w:sz w:val="18"/>
          <w:szCs w:val="18"/>
          <w:lang w:val="en-US" w:eastAsia="zh-CN"/>
        </w:rPr>
      </w:pPr>
      <w:bookmarkStart w:id="7" w:name="_Toc30692"/>
      <w:r>
        <w:rPr>
          <w:rFonts w:hint="eastAsia"/>
          <w:sz w:val="18"/>
          <w:szCs w:val="18"/>
          <w:lang w:val="en-US" w:eastAsia="zh-CN"/>
        </w:rPr>
        <w:t>基础环境运维服务</w:t>
      </w:r>
      <w:bookmarkEnd w:id="7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14"/>
        <w:gridCol w:w="2306"/>
        <w:gridCol w:w="1498"/>
        <w:gridCol w:w="290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814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CFCECE" w:themeFill="background2" w:themeFillShade="E5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类别</w:t>
            </w:r>
          </w:p>
        </w:tc>
        <w:tc>
          <w:tcPr>
            <w:tcW w:w="230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服务分类</w:t>
            </w:r>
          </w:p>
        </w:tc>
        <w:tc>
          <w:tcPr>
            <w:tcW w:w="149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服务代码</w:t>
            </w:r>
          </w:p>
        </w:tc>
        <w:tc>
          <w:tcPr>
            <w:tcW w:w="290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服务名称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814" w:type="dxa"/>
            <w:vMerge w:val="restart"/>
            <w:tcBorders>
              <w:top w:val="single" w:sz="4" w:space="0" w:color="auto"/>
              <w:left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基础环境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运维服务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(0401)</w:t>
            </w:r>
          </w:p>
        </w:tc>
        <w:tc>
          <w:tcPr>
            <w:tcW w:w="2306" w:type="dxa"/>
            <w:vMerge w:val="restart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基础环境运维服务(0401)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0401-01</w:t>
            </w:r>
          </w:p>
        </w:tc>
        <w:tc>
          <w:tcPr>
            <w:tcW w:w="290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基础环境巡检服务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814" w:type="dxa"/>
            <w:vMerge/>
            <w:tcBorders>
              <w:left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2306" w:type="dxa"/>
            <w:vMerge/>
            <w:tcBorders>
              <w:left w:val="single" w:sz="4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0401-02</w:t>
            </w:r>
          </w:p>
        </w:tc>
        <w:tc>
          <w:tcPr>
            <w:tcW w:w="290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基础环境响应支持服务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814" w:type="dxa"/>
            <w:vMerge/>
            <w:tcBorders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2306" w:type="dxa"/>
            <w:vMerge/>
            <w:tcBorders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0401-03</w:t>
            </w:r>
          </w:p>
        </w:tc>
        <w:tc>
          <w:tcPr>
            <w:tcW w:w="2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基础环境优化改善服务</w:t>
            </w:r>
          </w:p>
        </w:tc>
      </w:tr>
    </w:tbl>
    <w:p>
      <w:pPr>
        <w:pStyle w:val="2"/>
        <w:bidi w:val="0"/>
        <w:rPr>
          <w:rFonts w:hint="eastAsia"/>
          <w:sz w:val="18"/>
          <w:szCs w:val="18"/>
          <w:lang w:val="en-US" w:eastAsia="zh-CN"/>
        </w:rPr>
      </w:pPr>
      <w:bookmarkStart w:id="8" w:name="_Toc2176"/>
      <w:r>
        <w:rPr>
          <w:rFonts w:hint="eastAsia"/>
          <w:sz w:val="18"/>
          <w:szCs w:val="18"/>
          <w:lang w:val="en-US" w:eastAsia="zh-CN"/>
        </w:rPr>
        <w:t>硬件运维服务</w:t>
      </w:r>
      <w:bookmarkEnd w:id="8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76"/>
        <w:gridCol w:w="2830"/>
        <w:gridCol w:w="1511"/>
        <w:gridCol w:w="2205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976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CFCECE" w:themeFill="background2" w:themeFillShade="E5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类别</w:t>
            </w:r>
          </w:p>
        </w:tc>
        <w:tc>
          <w:tcPr>
            <w:tcW w:w="283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服务分类</w:t>
            </w:r>
          </w:p>
        </w:tc>
        <w:tc>
          <w:tcPr>
            <w:tcW w:w="1511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服务代码</w:t>
            </w:r>
          </w:p>
        </w:tc>
        <w:tc>
          <w:tcPr>
            <w:tcW w:w="2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服务名称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976" w:type="dxa"/>
            <w:vMerge w:val="restar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硬件运维服务(0402)</w:t>
            </w:r>
          </w:p>
        </w:tc>
        <w:tc>
          <w:tcPr>
            <w:tcW w:w="2830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网络运维服务(040201)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040201-01</w:t>
            </w:r>
          </w:p>
        </w:tc>
        <w:tc>
          <w:tcPr>
            <w:tcW w:w="2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网络设备巡检服务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976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2830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040201-02</w:t>
            </w:r>
          </w:p>
        </w:tc>
        <w:tc>
          <w:tcPr>
            <w:tcW w:w="2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网络设备响应支持服务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976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2830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040201-03</w:t>
            </w:r>
          </w:p>
        </w:tc>
        <w:tc>
          <w:tcPr>
            <w:tcW w:w="2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网络设备优化改善服务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976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2830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主机运维服务(040202)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040202-01</w:t>
            </w:r>
          </w:p>
        </w:tc>
        <w:tc>
          <w:tcPr>
            <w:tcW w:w="2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服务器巡检服务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976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2830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040202-02</w:t>
            </w:r>
          </w:p>
        </w:tc>
        <w:tc>
          <w:tcPr>
            <w:tcW w:w="2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服务器响应支持服务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976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2830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040202-03</w:t>
            </w:r>
          </w:p>
        </w:tc>
        <w:tc>
          <w:tcPr>
            <w:tcW w:w="2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服务器优化改善服务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976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2830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桌面运维服务(040204)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040204-01</w:t>
            </w:r>
          </w:p>
        </w:tc>
        <w:tc>
          <w:tcPr>
            <w:tcW w:w="2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桌面设备巡检服务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976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2830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040204-02</w:t>
            </w:r>
          </w:p>
        </w:tc>
        <w:tc>
          <w:tcPr>
            <w:tcW w:w="2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桌面设备响应支持服务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976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2830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040204-03</w:t>
            </w:r>
          </w:p>
        </w:tc>
        <w:tc>
          <w:tcPr>
            <w:tcW w:w="2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桌面设备优化改善服务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976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2830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其他硬件运维服务(040299)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040299-01</w:t>
            </w:r>
          </w:p>
        </w:tc>
        <w:tc>
          <w:tcPr>
            <w:tcW w:w="2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其他硬件巡检服务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976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2830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040299-02</w:t>
            </w:r>
          </w:p>
        </w:tc>
        <w:tc>
          <w:tcPr>
            <w:tcW w:w="2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其他硬件响应支持服务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976" w:type="dxa"/>
            <w:vMerge/>
            <w:tcBorders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2830" w:type="dxa"/>
            <w:vMerge/>
            <w:tcBorders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040299-03</w:t>
            </w:r>
          </w:p>
        </w:tc>
        <w:tc>
          <w:tcPr>
            <w:tcW w:w="2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其他硬件优化改善服务</w:t>
            </w:r>
          </w:p>
        </w:tc>
      </w:tr>
    </w:tbl>
    <w:p>
      <w:pPr>
        <w:pStyle w:val="2"/>
        <w:bidi w:val="0"/>
        <w:rPr>
          <w:rFonts w:hint="default"/>
          <w:sz w:val="18"/>
          <w:szCs w:val="18"/>
          <w:lang w:val="en-US" w:eastAsia="zh-CN"/>
        </w:rPr>
      </w:pPr>
      <w:bookmarkStart w:id="9" w:name="_Toc17060"/>
      <w:r>
        <w:rPr>
          <w:rFonts w:hint="eastAsia"/>
          <w:sz w:val="18"/>
          <w:szCs w:val="18"/>
          <w:lang w:val="en-US" w:eastAsia="zh-CN"/>
        </w:rPr>
        <w:t>软件运维服务</w:t>
      </w:r>
      <w:bookmarkEnd w:id="9"/>
    </w:p>
    <w:tbl>
      <w:tblPr>
        <w:tblStyle w:val="TableNormal"/>
        <w:tblW w:w="8523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15"/>
        <w:gridCol w:w="2698"/>
        <w:gridCol w:w="1666"/>
        <w:gridCol w:w="2344"/>
      </w:tblGrid>
      <w:tr>
        <w:tblPrEx>
          <w:tblW w:w="8523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81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CFCECE" w:themeFill="background2" w:themeFillShade="E5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类别</w:t>
            </w:r>
          </w:p>
        </w:tc>
        <w:tc>
          <w:tcPr>
            <w:tcW w:w="269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服务分类</w:t>
            </w:r>
          </w:p>
        </w:tc>
        <w:tc>
          <w:tcPr>
            <w:tcW w:w="166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服务代码</w:t>
            </w:r>
          </w:p>
        </w:tc>
        <w:tc>
          <w:tcPr>
            <w:tcW w:w="234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服务名称</w:t>
            </w:r>
          </w:p>
        </w:tc>
      </w:tr>
      <w:tr>
        <w:tblPrEx>
          <w:tblW w:w="8523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815" w:type="dxa"/>
            <w:vMerge w:val="restart"/>
            <w:tcBorders>
              <w:top w:val="single" w:sz="4" w:space="0" w:color="auto"/>
              <w:left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软件运维服务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(0403)</w:t>
            </w:r>
          </w:p>
        </w:tc>
        <w:tc>
          <w:tcPr>
            <w:tcW w:w="2698" w:type="dxa"/>
            <w:vMerge w:val="restart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应用软件运维服务(040303)</w:t>
            </w:r>
          </w:p>
        </w:tc>
        <w:tc>
          <w:tcPr>
            <w:tcW w:w="166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040303-01</w:t>
            </w: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应用软件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例行操作</w:t>
            </w:r>
          </w:p>
        </w:tc>
      </w:tr>
      <w:tr>
        <w:tblPrEx>
          <w:tblW w:w="8523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815" w:type="dxa"/>
            <w:vMerge/>
            <w:tcBorders>
              <w:left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2698" w:type="dxa"/>
            <w:vMerge/>
            <w:tcBorders>
              <w:left w:val="single" w:sz="4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166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040303-02</w:t>
            </w: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应用软件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响应支持</w:t>
            </w:r>
          </w:p>
        </w:tc>
      </w:tr>
      <w:tr>
        <w:tblPrEx>
          <w:tblW w:w="8523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815" w:type="dxa"/>
            <w:vMerge/>
            <w:tcBorders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2698" w:type="dxa"/>
            <w:vMerge/>
            <w:tcBorders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166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040303-03</w:t>
            </w: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应用软件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优化改善</w:t>
            </w:r>
          </w:p>
        </w:tc>
      </w:tr>
    </w:tbl>
    <w:p>
      <w:pPr>
        <w:rPr>
          <w:rFonts w:hint="eastAsia"/>
          <w:lang w:val="en-US" w:eastAsia="zh-CN"/>
        </w:rPr>
        <w:sectPr>
          <w:pgSz w:w="11906" w:h="16838"/>
          <w:pgMar w:top="1440" w:right="1800" w:bottom="1440" w:left="1800" w:header="851" w:footer="992" w:gutter="0"/>
          <w:pgBorders>
            <w:top w:val="nil"/>
            <w:left w:val="nil"/>
            <w:bottom w:val="nil"/>
            <w:right w:val="nil"/>
          </w:pgBorders>
          <w:cols w:num="1" w:space="425"/>
          <w:docGrid w:type="lines" w:linePitch="312" w:charSpace="0"/>
        </w:sectPr>
      </w:pPr>
    </w:p>
    <w:p>
      <w:pPr>
        <w:pStyle w:val="1"/>
        <w:bidi w:val="0"/>
        <w:rPr>
          <w:rFonts w:hint="eastAsia"/>
          <w:sz w:val="24"/>
          <w:szCs w:val="24"/>
          <w:lang w:val="en-US" w:eastAsia="zh-CN"/>
        </w:rPr>
      </w:pPr>
      <w:bookmarkStart w:id="10" w:name="_Toc1021"/>
      <w:r>
        <w:rPr>
          <w:rFonts w:hint="eastAsia"/>
          <w:sz w:val="24"/>
          <w:szCs w:val="24"/>
          <w:lang w:val="en-US" w:eastAsia="zh-CN"/>
        </w:rPr>
        <w:t>组织级运维服务目录</w:t>
      </w:r>
      <w:bookmarkEnd w:id="10"/>
    </w:p>
    <w:tbl>
      <w:tblPr>
        <w:tblStyle w:val="TableNormal"/>
        <w:tblW w:w="1417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0" w:type="dxa"/>
          <w:left w:w="0" w:type="dxa"/>
          <w:bottom w:w="0" w:type="dxa"/>
          <w:right w:w="0" w:type="dxa"/>
        </w:tblCellMar>
      </w:tblPr>
      <w:tblGrid>
        <w:gridCol w:w="756"/>
        <w:gridCol w:w="1415"/>
        <w:gridCol w:w="1198"/>
        <w:gridCol w:w="1332"/>
        <w:gridCol w:w="2234"/>
        <w:gridCol w:w="2920"/>
        <w:gridCol w:w="825"/>
        <w:gridCol w:w="2763"/>
        <w:gridCol w:w="731"/>
      </w:tblGrid>
      <w:tr>
        <w:tblPrEx>
          <w:tblW w:w="14174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/>
          <w:tblHeader/>
          <w:jc w:val="center"/>
        </w:trPr>
        <w:tc>
          <w:tcPr>
            <w:tcW w:w="756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  <w:tl2br w:val="nil"/>
              <w:tr2bl w:val="nil"/>
            </w:tcBorders>
            <w:shd w:val="clear" w:color="auto" w:fill="CFCECE" w:themeFill="background2" w:themeFillShade="E5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类别</w:t>
            </w:r>
          </w:p>
        </w:tc>
        <w:tc>
          <w:tcPr>
            <w:tcW w:w="141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服务范围</w:t>
            </w:r>
          </w:p>
        </w:tc>
        <w:tc>
          <w:tcPr>
            <w:tcW w:w="119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服务子类</w:t>
            </w:r>
          </w:p>
        </w:tc>
        <w:tc>
          <w:tcPr>
            <w:tcW w:w="133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服务名称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服务对象</w:t>
            </w:r>
          </w:p>
        </w:tc>
        <w:tc>
          <w:tcPr>
            <w:tcW w:w="292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服务内容简介及目标</w:t>
            </w:r>
          </w:p>
        </w:tc>
        <w:tc>
          <w:tcPr>
            <w:tcW w:w="82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服务方式</w:t>
            </w:r>
          </w:p>
        </w:tc>
        <w:tc>
          <w:tcPr>
            <w:tcW w:w="276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服务级别</w:t>
            </w:r>
          </w:p>
        </w:tc>
        <w:tc>
          <w:tcPr>
            <w:tcW w:w="73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  <w:tl2br w:val="nil"/>
              <w:tr2bl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交付成果</w:t>
            </w:r>
          </w:p>
        </w:tc>
      </w:tr>
      <w:tr>
        <w:tblPrEx>
          <w:tblW w:w="14174" w:type="dxa"/>
          <w:jc w:val="center"/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/>
          <w:jc w:val="center"/>
        </w:trPr>
        <w:tc>
          <w:tcPr>
            <w:tcW w:w="756" w:type="dxa"/>
            <w:vMerge w:val="restart"/>
            <w:tcBorders>
              <w:top w:val="single" w:sz="4" w:space="0" w:color="auto"/>
              <w:left w:val="single" w:sz="12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0401</w:t>
            </w:r>
          </w:p>
        </w:tc>
        <w:tc>
          <w:tcPr>
            <w:tcW w:w="141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基础环境运维</w:t>
            </w: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Ansi="Arial" w:cs="Arial" w:hint="default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0401-01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电力、空调、消防、UPS、安防等基础环境的运维例行维护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自动化</w:t>
            </w: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、</w:t>
            </w: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UPS机房、调度室机房、调控主站机房、数据网机房、通讯机房、通讯机房配网机房、</w:t>
            </w:r>
            <w:r>
              <w:rPr>
                <w:rFonts w:hint="eastAsia"/>
                <w:b w:val="0"/>
                <w:sz w:val="15"/>
                <w:szCs w:val="15"/>
                <w:lang w:val="en-US" w:eastAsia="zh-CN"/>
              </w:rPr>
              <w:t>通讯及机</w:t>
            </w: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房电源室等</w:t>
            </w:r>
          </w:p>
        </w:tc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对基础环境设备进行例行巡检、日常维保，记录UPS运行状态、温度、湿度、烟雾报警等。目标：及时发现潜在隐患，保障基础环境稳定运行。</w:t>
            </w:r>
          </w:p>
        </w:tc>
        <w:tc>
          <w:tcPr>
            <w:tcW w:w="82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现场/</w:t>
            </w:r>
          </w:p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远程</w:t>
            </w:r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高 SLA-A：巡检每天/次</w:t>
            </w:r>
          </w:p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中 SLA-B：巡检每周/次</w:t>
            </w:r>
          </w:p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低 SLA-C：巡检每月/次</w:t>
            </w:r>
          </w:p>
        </w:tc>
        <w:tc>
          <w:tcPr>
            <w:tcW w:w="73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巡检单</w:t>
            </w:r>
          </w:p>
        </w:tc>
      </w:tr>
      <w:tr>
        <w:tblPrEx>
          <w:tblW w:w="14174" w:type="dxa"/>
          <w:jc w:val="center"/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/>
          <w:jc w:val="center"/>
        </w:trPr>
        <w:tc>
          <w:tcPr>
            <w:tcW w:w="756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41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Ansi="Arial" w:cs="Arial" w:hint="default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0401-02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电力、空调、消防、UPS、安防等基础环境的运维响应支持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自动化</w:t>
            </w: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、</w:t>
            </w: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UPS</w:t>
            </w:r>
            <w:r>
              <w:rPr>
                <w:rFonts w:hint="eastAsia"/>
                <w:b w:val="0"/>
                <w:sz w:val="15"/>
                <w:szCs w:val="15"/>
                <w:lang w:val="en-US" w:eastAsia="zh-CN"/>
              </w:rPr>
              <w:t>、</w:t>
            </w: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机房、调度室机房、调控主站机房、数据网机房、通讯机房、通讯机房配网机房、</w:t>
            </w:r>
            <w:r>
              <w:rPr>
                <w:rFonts w:hint="eastAsia"/>
                <w:b w:val="0"/>
                <w:sz w:val="15"/>
                <w:szCs w:val="15"/>
                <w:lang w:val="en-US" w:eastAsia="zh-CN"/>
              </w:rPr>
              <w:t>通讯及机</w:t>
            </w: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房电源室等</w:t>
            </w:r>
          </w:p>
        </w:tc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对基础环境设备出现的各类突发故障进行快速响应、精准诊断与有效恢复。目标：在最短时间内恢复故障，最大限度减少对客户业务的干扰和中断影响。</w:t>
            </w:r>
          </w:p>
        </w:tc>
        <w:tc>
          <w:tcPr>
            <w:tcW w:w="82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高</w:t>
            </w: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SLA-A：服务时间：7*24，15分钟内响应1小时远程解决，远程无法解决，2 个小时现场解决</w:t>
            </w:r>
          </w:p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中</w:t>
            </w: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SLA-B：服务时间：7*24，30分钟内响应，2-4小时远程解决，远程无法解决，1个工作日现场解决。</w:t>
            </w:r>
          </w:p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低</w:t>
            </w: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SLA-C：服务时间：7*24，2小时内响应，4-8小时远程解决，远程无法解决，2个工作日现场解决。</w:t>
            </w:r>
          </w:p>
        </w:tc>
        <w:tc>
          <w:tcPr>
            <w:tcW w:w="73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>
        <w:tblPrEx>
          <w:tblW w:w="14174" w:type="dxa"/>
          <w:jc w:val="center"/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/>
          <w:jc w:val="center"/>
        </w:trPr>
        <w:tc>
          <w:tcPr>
            <w:tcW w:w="756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41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Ansi="Arial" w:cs="Arial" w:hint="default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0401-03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电力、空调、消防、UPS、安防等基础环境的运维优化改善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自动化</w:t>
            </w: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、</w:t>
            </w: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UPS</w:t>
            </w:r>
          </w:p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机房、调度室机房、调控主站机房、数据网机房、通讯机房、通讯机房配网机房、</w:t>
            </w:r>
            <w:r>
              <w:rPr>
                <w:rFonts w:hint="eastAsia"/>
                <w:b w:val="0"/>
                <w:sz w:val="15"/>
                <w:szCs w:val="15"/>
                <w:lang w:val="en-US" w:eastAsia="zh-CN"/>
              </w:rPr>
              <w:t>通讯及机</w:t>
            </w: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房电源室等</w:t>
            </w:r>
          </w:p>
        </w:tc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分析基础环境存在的各类问题与潜在风险，提出并实施针对性的优化改善方案。目标：持续提升基础环境的整体可靠性、运行效率及抗风险能力</w:t>
            </w:r>
          </w:p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</w:p>
        </w:tc>
        <w:tc>
          <w:tcPr>
            <w:tcW w:w="82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  <w:t>依据用户业务需求提供优化改善服务</w:t>
            </w:r>
          </w:p>
        </w:tc>
        <w:tc>
          <w:tcPr>
            <w:tcW w:w="73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>
        <w:tblPrEx>
          <w:tblW w:w="14174" w:type="dxa"/>
          <w:jc w:val="center"/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/>
          <w:jc w:val="center"/>
        </w:trPr>
        <w:tc>
          <w:tcPr>
            <w:tcW w:w="756" w:type="dxa"/>
            <w:vMerge w:val="restart"/>
            <w:tcBorders>
              <w:top w:val="single" w:sz="4" w:space="0" w:color="auto"/>
              <w:left w:val="single" w:sz="12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040201</w:t>
            </w:r>
          </w:p>
        </w:tc>
        <w:tc>
          <w:tcPr>
            <w:tcW w:w="141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网络运维服务</w:t>
            </w: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040201-01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网络设备巡检服务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路由器、交换机、防火墙、负载均衡等网络设备</w:t>
            </w:r>
          </w:p>
        </w:tc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定期对路由器、交换机、防火墙进行巡检，保障网络状态稳定</w:t>
            </w:r>
          </w:p>
        </w:tc>
        <w:tc>
          <w:tcPr>
            <w:tcW w:w="82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现场/</w:t>
            </w:r>
          </w:p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远程</w:t>
            </w:r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高 SLA-A：巡检每天/次</w:t>
            </w:r>
          </w:p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中 SLA-B：巡检每周/次</w:t>
            </w:r>
          </w:p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Ansi="Arial" w:cs="Arial" w:hint="eastAsia"/>
                <w:b w:val="0"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低 SLA-C：巡检每月/次</w:t>
            </w:r>
          </w:p>
        </w:tc>
        <w:tc>
          <w:tcPr>
            <w:tcW w:w="73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Ansi="Arial" w:cs="Arial" w:hint="eastAsia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巡检单</w:t>
            </w:r>
          </w:p>
        </w:tc>
      </w:tr>
      <w:tr>
        <w:tblPrEx>
          <w:tblW w:w="14174" w:type="dxa"/>
          <w:jc w:val="center"/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/>
          <w:jc w:val="center"/>
        </w:trPr>
        <w:tc>
          <w:tcPr>
            <w:tcW w:w="756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41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040201-02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网络设备响应支持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路由器、交换机、防火墙、负载均衡等网络设备</w:t>
            </w:r>
          </w:p>
        </w:tc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及时响应路由器、交换机、防火墙扥网络设备故障，恢复网络运行</w:t>
            </w:r>
          </w:p>
        </w:tc>
        <w:tc>
          <w:tcPr>
            <w:tcW w:w="82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高</w:t>
            </w: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SLA-A：服务时间：7*24，15分钟内响应1小时远程解决，远程无法解决，2 个小时现场解决</w:t>
            </w:r>
          </w:p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中</w:t>
            </w: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SLA-B：服务时间：7*24，30分钟内响应，2-4小时远程解决，远程无法解决，1个工作日现场解决。</w:t>
            </w:r>
          </w:p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Ansi="Arial" w:cs="Arial" w:hint="eastAsia"/>
                <w:b w:val="0"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低</w:t>
            </w: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SLA-C：服务时间：7*24，2小时内响应，4-8小时远程解决，远程无法解决，2个工作日现场解决。</w:t>
            </w:r>
          </w:p>
        </w:tc>
        <w:tc>
          <w:tcPr>
            <w:tcW w:w="73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Ansi="Arial" w:cs="Arial" w:hint="eastAsia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>
        <w:tblPrEx>
          <w:tblW w:w="14174" w:type="dxa"/>
          <w:jc w:val="center"/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/>
          <w:jc w:val="center"/>
        </w:trPr>
        <w:tc>
          <w:tcPr>
            <w:tcW w:w="756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41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040201-03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网络设备优化改善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路由器、交换机、防火墙、负载均衡等网络设备</w:t>
            </w:r>
          </w:p>
        </w:tc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分析网络设备原因，及时进行优化</w:t>
            </w:r>
          </w:p>
        </w:tc>
        <w:tc>
          <w:tcPr>
            <w:tcW w:w="82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Ansi="Arial" w:cs="Arial" w:hint="eastAsia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Arial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  <w:t>依据用户业务需求提供优化改善服务</w:t>
            </w:r>
          </w:p>
        </w:tc>
        <w:tc>
          <w:tcPr>
            <w:tcW w:w="73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Ansi="Arial" w:cs="Arial" w:hint="eastAsia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>
        <w:tblPrEx>
          <w:tblW w:w="14174" w:type="dxa"/>
          <w:jc w:val="center"/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/>
          <w:jc w:val="center"/>
        </w:trPr>
        <w:tc>
          <w:tcPr>
            <w:tcW w:w="756" w:type="dxa"/>
            <w:vMerge w:val="restart"/>
            <w:tcBorders>
              <w:top w:val="single" w:sz="4" w:space="0" w:color="auto"/>
              <w:left w:val="single" w:sz="12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040202</w:t>
            </w:r>
          </w:p>
        </w:tc>
        <w:tc>
          <w:tcPr>
            <w:tcW w:w="141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主机运维服务</w:t>
            </w: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Ansi="Arial" w:cs="Arial" w:hint="eastAsia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040202-01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主机巡检服务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机架式服务器、PC服务器、小型服务器</w:t>
            </w:r>
          </w:p>
        </w:tc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定期对服务器进行状态检查、性能监控、系统日志分析，及时发现并处理潜在问题，保障服务器稳定运行。</w:t>
            </w:r>
          </w:p>
        </w:tc>
        <w:tc>
          <w:tcPr>
            <w:tcW w:w="82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现场/</w:t>
            </w:r>
          </w:p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远程</w:t>
            </w:r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高 SLA-A：巡检每天/次</w:t>
            </w:r>
          </w:p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中 SLA-B：巡检每周/次</w:t>
            </w:r>
          </w:p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Ansi="Arial" w:cs="Arial" w:hint="eastAsia"/>
                <w:b w:val="0"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低 SLA-C：巡检每月/次</w:t>
            </w:r>
          </w:p>
        </w:tc>
        <w:tc>
          <w:tcPr>
            <w:tcW w:w="73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Ansi="Arial" w:cs="Arial" w:hint="eastAsia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巡检单</w:t>
            </w:r>
          </w:p>
        </w:tc>
      </w:tr>
      <w:tr>
        <w:tblPrEx>
          <w:tblW w:w="14174" w:type="dxa"/>
          <w:jc w:val="center"/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/>
          <w:jc w:val="center"/>
        </w:trPr>
        <w:tc>
          <w:tcPr>
            <w:tcW w:w="756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41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Ansi="Arial" w:cs="Arial" w:hint="eastAsia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040202-02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主机响应支持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机架式服务器、PC服务器、小型服务器</w:t>
            </w:r>
          </w:p>
        </w:tc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及时响应并解决服务器的突发故障，提供技术支持，进行故障诊断与处理，恢复业务正常运行。</w:t>
            </w:r>
          </w:p>
        </w:tc>
        <w:tc>
          <w:tcPr>
            <w:tcW w:w="82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高</w:t>
            </w: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SLA-A：服务时间：7*24，15分钟内响应1小时远程解决，远程无法解决，2 个小时现场解决</w:t>
            </w:r>
          </w:p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中</w:t>
            </w: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SLA-B：服务时间：7*24，30分钟内响应，2-4小时远程解决，远程无法解决，1个工作日现场解决。</w:t>
            </w:r>
          </w:p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Ansi="Arial" w:cs="Arial" w:hint="eastAsia"/>
                <w:b w:val="0"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低</w:t>
            </w: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SLA-C：服务时间：7*24，2小时内响应，4-8小时远程解决，远程无法解决，2个工作日现场解决。</w:t>
            </w:r>
          </w:p>
        </w:tc>
        <w:tc>
          <w:tcPr>
            <w:tcW w:w="73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Ansi="Arial" w:cs="Arial" w:hint="eastAsia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>
        <w:tblPrEx>
          <w:tblW w:w="14174" w:type="dxa"/>
          <w:jc w:val="center"/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/>
          <w:jc w:val="center"/>
        </w:trPr>
        <w:tc>
          <w:tcPr>
            <w:tcW w:w="756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41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Ansi="Arial" w:cs="Arial" w:hint="eastAsia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040202-03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主机设备优化改善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机架式服务器、PC服务器、小型服务器</w:t>
            </w:r>
          </w:p>
        </w:tc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分析服务器运行中出现问题的原因，进行系统参数优化、资源配置优化、性能调优，提升服务器运行效率</w:t>
            </w:r>
          </w:p>
        </w:tc>
        <w:tc>
          <w:tcPr>
            <w:tcW w:w="82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Ansi="Arial" w:cs="Arial" w:hint="eastAsia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Arial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  <w:t>依据用户业务需求提供优化改善服务</w:t>
            </w:r>
          </w:p>
        </w:tc>
        <w:tc>
          <w:tcPr>
            <w:tcW w:w="73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Ansi="Arial" w:cs="Arial" w:hint="eastAsia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>
        <w:tblPrEx>
          <w:tblW w:w="14174" w:type="dxa"/>
          <w:jc w:val="center"/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/>
          <w:jc w:val="center"/>
        </w:trPr>
        <w:tc>
          <w:tcPr>
            <w:tcW w:w="756" w:type="dxa"/>
            <w:vMerge w:val="restart"/>
            <w:tcBorders>
              <w:top w:val="single" w:sz="4" w:space="0" w:color="auto"/>
              <w:left w:val="single" w:sz="12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040204</w:t>
            </w:r>
          </w:p>
        </w:tc>
        <w:tc>
          <w:tcPr>
            <w:tcW w:w="141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桌面运维服务</w:t>
            </w: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040204-01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桌面设备巡检服务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台式机、工作站、便携式计算机等</w:t>
            </w:r>
          </w:p>
        </w:tc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定期对桌面设备进行状态检查、系统更新、病毒查杀，及时发现并处理潜在问题，保障用户正常使用</w:t>
            </w:r>
          </w:p>
        </w:tc>
        <w:tc>
          <w:tcPr>
            <w:tcW w:w="82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现场/</w:t>
            </w:r>
          </w:p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远程</w:t>
            </w:r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  <w:t>高 SLA-A：巡检每天/次；</w:t>
            </w:r>
          </w:p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  <w:t>中 SLA-B：巡检每周/次；</w:t>
            </w:r>
          </w:p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Ansi="Arial" w:cs="Arial" w:hint="eastAsia"/>
                <w:b w:val="0"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Arial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  <w:t>低 SLA-C：巡检每月/次</w:t>
            </w:r>
          </w:p>
        </w:tc>
        <w:tc>
          <w:tcPr>
            <w:tcW w:w="73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Ansi="Arial" w:cs="Arial" w:hint="eastAsia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巡检单</w:t>
            </w:r>
          </w:p>
        </w:tc>
      </w:tr>
      <w:tr>
        <w:tblPrEx>
          <w:tblW w:w="14174" w:type="dxa"/>
          <w:jc w:val="center"/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/>
          <w:jc w:val="center"/>
        </w:trPr>
        <w:tc>
          <w:tcPr>
            <w:tcW w:w="756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41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040204-02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桌面设备响应支持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台式机、工作站、便携式计算机等</w:t>
            </w:r>
          </w:p>
        </w:tc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及时响应并解决桌面设备的突发故障，提供技术支持，进行故障诊断与处理，恢复设备正常运行</w:t>
            </w:r>
          </w:p>
        </w:tc>
        <w:tc>
          <w:tcPr>
            <w:tcW w:w="82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  <w:t>高 SLA-A：服务时间：7×24，15分钟内响应/1小时远程解决/2小时现场；</w:t>
            </w:r>
          </w:p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  <w:t>中 SLA-B：30分钟内响应/2-4小时远程/1工作日现场；</w:t>
            </w:r>
          </w:p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Ansi="Arial" w:cs="Arial" w:hint="eastAsia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Arial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  <w:t>低 SLA-C：2小时内响应/4-8小时远程/2工作日现场</w:t>
            </w:r>
          </w:p>
        </w:tc>
        <w:tc>
          <w:tcPr>
            <w:tcW w:w="73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Ansi="Arial" w:cs="Arial" w:hint="eastAsia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>
        <w:tblPrEx>
          <w:tblW w:w="14174" w:type="dxa"/>
          <w:jc w:val="center"/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/>
          <w:jc w:val="center"/>
        </w:trPr>
        <w:tc>
          <w:tcPr>
            <w:tcW w:w="756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41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040204-03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桌面设备优化改善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台式机、工作站、便携式计算机等</w:t>
            </w:r>
          </w:p>
        </w:tc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分析桌面设备运行中出现问题的原因，进行系统优化、软件升级、硬件升级建议，提升用户体验</w:t>
            </w:r>
          </w:p>
        </w:tc>
        <w:tc>
          <w:tcPr>
            <w:tcW w:w="82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  <w:t>依据用户业务需求提供优化改善</w:t>
            </w:r>
          </w:p>
        </w:tc>
        <w:tc>
          <w:tcPr>
            <w:tcW w:w="73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Ansi="Arial" w:cs="Arial" w:hint="eastAsia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>
        <w:tblPrEx>
          <w:tblW w:w="14174" w:type="dxa"/>
          <w:jc w:val="center"/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/>
          <w:jc w:val="center"/>
        </w:trPr>
        <w:tc>
          <w:tcPr>
            <w:tcW w:w="756" w:type="dxa"/>
            <w:vMerge w:val="restart"/>
            <w:tcBorders>
              <w:top w:val="single" w:sz="4" w:space="0" w:color="auto"/>
              <w:left w:val="single" w:sz="12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  <w:bookmarkStart w:id="11" w:name="_GoBack" w:colFirst="4" w:colLast="4"/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040299</w:t>
            </w:r>
          </w:p>
        </w:tc>
        <w:tc>
          <w:tcPr>
            <w:tcW w:w="141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其他硬件运维服务</w:t>
            </w: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040299-01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针对变电站、配电房、发电厂区内的视频监控摄像机、硬盘录像机</w:t>
            </w: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等硬件设备例行操作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变电站、配电房、发电厂区内的视频监控摄像机、硬盘录像机等硬件设备</w:t>
            </w:r>
          </w:p>
        </w:tc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定期对变电站、配电房、发电厂区内的视频监控摄像机（含球机/枪机/防爆摄像机）、硬盘录像机（NVR/DVR）、存储硬盘及传输线路等硬件设备进行状态检查</w:t>
            </w:r>
          </w:p>
        </w:tc>
        <w:tc>
          <w:tcPr>
            <w:tcW w:w="82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现场/</w:t>
            </w:r>
          </w:p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远程</w:t>
            </w:r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高 SLA-A：巡检每天/次</w:t>
            </w:r>
          </w:p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中 SLA-B：巡检每周/次</w:t>
            </w:r>
          </w:p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低 SLA-C：巡检每月/次</w:t>
            </w:r>
          </w:p>
        </w:tc>
        <w:tc>
          <w:tcPr>
            <w:tcW w:w="73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Ansi="Arial" w:cs="Arial" w:hint="eastAsia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巡检单</w:t>
            </w:r>
          </w:p>
        </w:tc>
      </w:tr>
      <w:tr>
        <w:tblPrEx>
          <w:tblW w:w="14174" w:type="dxa"/>
          <w:jc w:val="center"/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/>
          <w:jc w:val="center"/>
        </w:trPr>
        <w:tc>
          <w:tcPr>
            <w:tcW w:w="756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41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040299-02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针对变电站、配电房、发电厂区内的视频监控摄像机、硬盘录像机等等硬件设备</w:t>
            </w:r>
            <w:r>
              <w:rPr>
                <w:rFonts w:hint="eastAsia"/>
                <w:b w:val="0"/>
                <w:sz w:val="15"/>
                <w:szCs w:val="15"/>
                <w:lang w:val="en-US" w:eastAsia="zh-CN"/>
              </w:rPr>
              <w:t>响应支持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变电站、配电房、发电厂区内的视频监控摄像机、硬盘录像机等硬件设备</w:t>
            </w:r>
          </w:p>
        </w:tc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对变电站、配电房、发电厂区内的视频监控摄像机（含球机/枪机/防爆摄像机）、硬盘录像机（NVR/DVR）、存储硬盘及传输线路等硬件设备进行</w:t>
            </w:r>
            <w:r>
              <w:rPr>
                <w:rFonts w:hint="eastAsia"/>
                <w:b w:val="0"/>
                <w:sz w:val="15"/>
                <w:szCs w:val="15"/>
                <w:lang w:val="en-US" w:eastAsia="zh-CN"/>
              </w:rPr>
              <w:t>故障处理</w:t>
            </w:r>
          </w:p>
        </w:tc>
        <w:tc>
          <w:tcPr>
            <w:tcW w:w="82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高</w:t>
            </w: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SLA-A：服务时间：7*24，15分钟内响应1小时远程解决，远程无法解决，2 个小时现场解决</w:t>
            </w:r>
          </w:p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中</w:t>
            </w: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SLA-B：服务时间：7*24，30分钟内响应，2-4小时远程解决，远程无法解决，1个工作日现场解决。</w:t>
            </w:r>
          </w:p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Ansi="Arial" w:cs="Arial" w:hint="eastAsia"/>
                <w:b w:val="0"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低</w:t>
            </w: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SLA-C：服务时间：7*24，2小时内响应，4-8小时远程解决，远程无法解决，2个工作日现场解决。</w:t>
            </w:r>
          </w:p>
        </w:tc>
        <w:tc>
          <w:tcPr>
            <w:tcW w:w="73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Ansi="Arial" w:cs="Arial" w:hint="eastAsia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>
        <w:tblPrEx>
          <w:tblW w:w="14174" w:type="dxa"/>
          <w:jc w:val="center"/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/>
          <w:jc w:val="center"/>
        </w:trPr>
        <w:tc>
          <w:tcPr>
            <w:tcW w:w="756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41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040299-03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针对变电站、配电房、发电厂区内的视频监控摄像机、硬盘录像机等等硬件设备</w:t>
            </w:r>
            <w:r>
              <w:rPr>
                <w:rFonts w:hint="eastAsia"/>
                <w:b w:val="0"/>
                <w:sz w:val="15"/>
                <w:szCs w:val="15"/>
                <w:lang w:val="en-US" w:eastAsia="zh-CN"/>
              </w:rPr>
              <w:t>优化改善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变电站、配电房、发电厂区内的视频监控摄像机、硬盘录像机等硬件设备</w:t>
            </w:r>
          </w:p>
        </w:tc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定期对变电站、配电房、发电厂区内的视频监控摄像机（含球机/枪机/防爆摄像机）、硬盘录像机（NVR/DVR）、存储硬盘及传输线路等硬件设备进行性能调优、配置优化、硬件升级建议，提升硬件设备运行效率，提交优化改善报告</w:t>
            </w:r>
          </w:p>
        </w:tc>
        <w:tc>
          <w:tcPr>
            <w:tcW w:w="82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Ansi="Arial" w:cs="Arial" w:hint="eastAsia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Arial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  <w:t>依据用户业务需求提供优化改善服务</w:t>
            </w:r>
          </w:p>
        </w:tc>
        <w:tc>
          <w:tcPr>
            <w:tcW w:w="73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Ansi="Arial" w:cs="Arial" w:hint="eastAsia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>
        <w:tblPrEx>
          <w:tblW w:w="14174" w:type="dxa"/>
          <w:jc w:val="center"/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/>
          <w:jc w:val="center"/>
        </w:trPr>
        <w:tc>
          <w:tcPr>
            <w:tcW w:w="756" w:type="dxa"/>
            <w:vMerge w:val="restart"/>
            <w:tcBorders>
              <w:top w:val="single" w:sz="4" w:space="0" w:color="auto"/>
              <w:left w:val="single" w:sz="12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  <w:bookmarkEnd w:id="11"/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040301</w:t>
            </w:r>
          </w:p>
        </w:tc>
        <w:tc>
          <w:tcPr>
            <w:tcW w:w="141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基础软件运维服务</w:t>
            </w: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040301-01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Ansi="Arial" w:cs="Arial" w:hint="eastAsia"/>
                <w:b w:val="0"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基础软件例行操作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操作系统、数据库系统、中间件等</w:t>
            </w:r>
          </w:p>
        </w:tc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定期对操作系统、数据库系统、中间件等基础软件进行状态检查、日志分析、性能监控，及时发现并处理潜在问题，保障基础软件稳定运行，完成巡检记录</w:t>
            </w:r>
          </w:p>
        </w:tc>
        <w:tc>
          <w:tcPr>
            <w:tcW w:w="82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现场/</w:t>
            </w:r>
          </w:p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远程</w:t>
            </w:r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高 SLA-A：巡检每天/次</w:t>
            </w:r>
          </w:p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中 SLA-B：巡检每周/次</w:t>
            </w:r>
          </w:p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低 SLA-C：巡检每月/次</w:t>
            </w:r>
          </w:p>
        </w:tc>
        <w:tc>
          <w:tcPr>
            <w:tcW w:w="73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Ansi="Arial" w:cs="Arial" w:hint="eastAsia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巡检单</w:t>
            </w:r>
          </w:p>
        </w:tc>
      </w:tr>
      <w:tr>
        <w:tblPrEx>
          <w:tblW w:w="14174" w:type="dxa"/>
          <w:jc w:val="center"/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/>
          <w:jc w:val="center"/>
        </w:trPr>
        <w:tc>
          <w:tcPr>
            <w:tcW w:w="756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41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040301-02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Ansi="Arial" w:cs="Arial" w:hint="eastAsia"/>
                <w:b w:val="0"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基础软件响应支持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操作系统、数据库系统、中间件等</w:t>
            </w:r>
          </w:p>
        </w:tc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及时响应并解决操作系统、数据库系统、中间件等基础软件的突发故障，提供故障诊断、技术支持与修复服务，恢复基础软件正常运行，提交故障处理报告</w:t>
            </w:r>
          </w:p>
        </w:tc>
        <w:tc>
          <w:tcPr>
            <w:tcW w:w="82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高</w:t>
            </w: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SLA-A：服务时间：7*24，15分钟内响应1小时远程解决，远程无法解决，2 个小时现场解决</w:t>
            </w:r>
          </w:p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中</w:t>
            </w: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SLA-B：服务时间：7*24，30分钟内响应，2-4小时远程解决，远程无法解决，1个工作日现场解决。</w:t>
            </w:r>
          </w:p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Ansi="Arial" w:cs="Arial" w:hint="eastAsia"/>
                <w:b w:val="0"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低</w:t>
            </w: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SLA-C：服务时间：7*24，2小时内响应，4-8小时远程解决，远程无法解决，2个工作日现场解决。</w:t>
            </w:r>
          </w:p>
        </w:tc>
        <w:tc>
          <w:tcPr>
            <w:tcW w:w="73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Ansi="Arial" w:cs="Arial" w:hint="eastAsia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>
        <w:tblPrEx>
          <w:tblW w:w="14174" w:type="dxa"/>
          <w:jc w:val="center"/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/>
          <w:jc w:val="center"/>
        </w:trPr>
        <w:tc>
          <w:tcPr>
            <w:tcW w:w="756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41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040301-03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Ansi="Arial" w:cs="Arial" w:hint="eastAsia"/>
                <w:b w:val="0"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基础软件优化改善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操作系统、数据库系统、中间件等</w:t>
            </w:r>
          </w:p>
        </w:tc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分析基础软件运行中出现性能问题的原因，进行系统参数优化、版本升级、配置调优，提升基础软件运行效率，提交优化改善报告</w:t>
            </w:r>
          </w:p>
        </w:tc>
        <w:tc>
          <w:tcPr>
            <w:tcW w:w="82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Ansi="Arial" w:cs="Arial" w:hint="eastAsia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Arial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  <w:t>依据用户业务需求提供优化改善服务</w:t>
            </w:r>
          </w:p>
        </w:tc>
        <w:tc>
          <w:tcPr>
            <w:tcW w:w="73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Ansi="Arial" w:cs="Arial" w:hint="eastAsia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>
        <w:tblPrEx>
          <w:tblW w:w="14174" w:type="dxa"/>
          <w:jc w:val="center"/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/>
          <w:jc w:val="center"/>
        </w:trPr>
        <w:tc>
          <w:tcPr>
            <w:tcW w:w="756" w:type="dxa"/>
            <w:vMerge w:val="restart"/>
            <w:tcBorders>
              <w:top w:val="single" w:sz="4" w:space="0" w:color="auto"/>
              <w:left w:val="single" w:sz="12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040303</w:t>
            </w:r>
          </w:p>
        </w:tc>
        <w:tc>
          <w:tcPr>
            <w:tcW w:w="141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应用软件运维服务</w:t>
            </w: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040303-01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应用软件例行操作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/>
                <w:b w:val="0"/>
                <w:sz w:val="15"/>
                <w:szCs w:val="15"/>
                <w:lang w:val="en-US" w:eastAsia="zh-CN"/>
              </w:rPr>
              <w:t>电力监控系统</w:t>
            </w:r>
          </w:p>
        </w:tc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/>
                <w:b w:val="0"/>
                <w:sz w:val="15"/>
                <w:szCs w:val="15"/>
                <w:lang w:val="en-US" w:eastAsia="zh-CN"/>
              </w:rPr>
              <w:t>定期对电力监控系统</w:t>
            </w: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、主数据系统等应用软件进行运行状态检查、日志分析、性能监控，及时发现并处理潜在问题，保障应用软件稳定运行，完成巡检报告</w:t>
            </w:r>
          </w:p>
        </w:tc>
        <w:tc>
          <w:tcPr>
            <w:tcW w:w="82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现场/</w:t>
            </w:r>
          </w:p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远程</w:t>
            </w:r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高 SLA-A：巡检每天/次</w:t>
            </w:r>
          </w:p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中 SLA-B：巡检每周/次</w:t>
            </w:r>
          </w:p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低 SLA-C：巡检每月/次</w:t>
            </w:r>
          </w:p>
        </w:tc>
        <w:tc>
          <w:tcPr>
            <w:tcW w:w="73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Ansi="Arial" w:cs="Arial" w:hint="eastAsia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巡检单</w:t>
            </w:r>
          </w:p>
        </w:tc>
      </w:tr>
      <w:tr>
        <w:tblPrEx>
          <w:tblW w:w="14174" w:type="dxa"/>
          <w:jc w:val="center"/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/>
          <w:jc w:val="center"/>
        </w:trPr>
        <w:tc>
          <w:tcPr>
            <w:tcW w:w="756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41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040303-02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应用软件响应支持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/>
                <w:b w:val="0"/>
                <w:sz w:val="15"/>
                <w:szCs w:val="15"/>
                <w:lang w:val="en-US" w:eastAsia="zh-CN"/>
              </w:rPr>
              <w:t>电力监控系统</w:t>
            </w:r>
          </w:p>
        </w:tc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及时响应</w:t>
            </w:r>
            <w:r>
              <w:rPr>
                <w:rFonts w:hint="eastAsia"/>
                <w:b w:val="0"/>
                <w:sz w:val="15"/>
                <w:szCs w:val="15"/>
                <w:lang w:val="en-US" w:eastAsia="zh-CN"/>
              </w:rPr>
              <w:t>电力监控系统</w:t>
            </w: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、主数据系统等应用软件的突发故障，对服务请求或故障申报提供及时服务，对应用软件中的参数、数据、权限等进行增删改查操作，提供技术支持，修复故障，按期提交故障处理报告</w:t>
            </w:r>
          </w:p>
        </w:tc>
        <w:tc>
          <w:tcPr>
            <w:tcW w:w="82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高</w:t>
            </w: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SLA-A：服务时间：7*24，15分钟内响应1小时远程解决，远程无法解决，2 个小时现场解决</w:t>
            </w:r>
          </w:p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中</w:t>
            </w: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SLA-B：服务时间：7*24，30分钟内响应，2-4小时远程解决，远程无法解决，1个工作日现场解决。</w:t>
            </w:r>
          </w:p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Ansi="Arial" w:cs="Arial" w:hint="eastAsia"/>
                <w:b w:val="0"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低</w:t>
            </w: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  <w:t>SLA-C：服务时间：7*24，2小时内响应，4-8小时远程解决，远程无法解决，2个工作日现场解决。</w:t>
            </w:r>
          </w:p>
        </w:tc>
        <w:tc>
          <w:tcPr>
            <w:tcW w:w="73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Ansi="Arial" w:cs="Arial" w:hint="eastAsia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>
        <w:tblPrEx>
          <w:tblW w:w="14174" w:type="dxa"/>
          <w:jc w:val="center"/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/>
          <w:jc w:val="center"/>
        </w:trPr>
        <w:tc>
          <w:tcPr>
            <w:tcW w:w="756" w:type="dxa"/>
            <w:vMerge/>
            <w:tcBorders>
              <w:left w:val="single" w:sz="12" w:space="0" w:color="auto"/>
              <w:bottom w:val="single" w:sz="4" w:space="0" w:color="auto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415" w:type="dxa"/>
            <w:vMerge/>
            <w:tcBorders>
              <w:bottom w:val="single" w:sz="4" w:space="0" w:color="auto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040303-03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应用软件优化改善</w:t>
            </w:r>
          </w:p>
        </w:tc>
        <w:tc>
          <w:tcPr>
            <w:tcW w:w="223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/>
                <w:b w:val="0"/>
                <w:sz w:val="15"/>
                <w:szCs w:val="15"/>
                <w:lang w:val="en-US" w:eastAsia="zh-CN"/>
              </w:rPr>
              <w:t>电力监控系统</w:t>
            </w:r>
          </w:p>
        </w:tc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针对</w:t>
            </w:r>
            <w:r>
              <w:rPr>
                <w:rFonts w:hint="eastAsia"/>
                <w:b w:val="0"/>
                <w:sz w:val="15"/>
                <w:szCs w:val="15"/>
                <w:lang w:val="en-US" w:eastAsia="zh-CN"/>
              </w:rPr>
              <w:t>电力监控系统</w:t>
            </w:r>
            <w:r>
              <w:rPr>
                <w:rFonts w:ascii="Arial" w:eastAsia="宋体" w:hint="eastAsia"/>
                <w:b w:val="0"/>
                <w:sz w:val="15"/>
                <w:szCs w:val="15"/>
                <w:lang w:val="en-US" w:eastAsia="zh-CN"/>
              </w:rPr>
              <w:t>、主数据系统等应用软件运行中出现的性能问题，进行分析诊断，找出问题原因和解决方法，进行系统参数优化、功能完善、版本升级，提升应用软件运行效率和用户体验，提交优化改善报告</w:t>
            </w:r>
          </w:p>
        </w:tc>
        <w:tc>
          <w:tcPr>
            <w:tcW w:w="825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default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Ansi="Arial" w:cs="Arial" w:hint="eastAsia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Arial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  <w:t>依据用户业务需求提供优化改善服务</w:t>
            </w:r>
          </w:p>
        </w:tc>
        <w:tc>
          <w:tcPr>
            <w:tcW w:w="73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>
            <w:pPr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 w:hAnsi="Arial" w:cs="Arial" w:hint="eastAsia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Arial" w:eastAsia="宋体" w:hint="eastAsia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</w:tbl>
    <w:p>
      <w:pPr>
        <w:pStyle w:val="a2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</w:p>
    <w:sectPr>
      <w:pgSz w:w="16838" w:h="11906" w:orient="landscape"/>
      <w:pgMar w:top="1800" w:right="1440" w:bottom="1800" w:left="1440" w:header="851" w:footer="992" w:gutter="0"/>
      <w:pgBorders>
        <w:top w:val="nil"/>
        <w:left w:val="nil"/>
        <w:bottom w:val="nil"/>
        <w:right w:val="nil"/>
      </w:pgBorders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文档修订信息"/>
    <w:basedOn w:val="Normal"/>
    <w:qFormat/>
    <w:pPr>
      <w:widowControl w:val="0"/>
      <w:ind w:firstLine="470" w:firstLineChars="200"/>
      <w:jc w:val="center"/>
    </w:pPr>
    <w:rPr>
      <w:rFonts w:ascii="Arial" w:hAnsi="Arial" w:hint="eastAsia"/>
      <w:b/>
      <w:bCs/>
      <w:sz w:val="24"/>
      <w:lang w:eastAsia="zh-CN"/>
    </w:rPr>
  </w:style>
  <w:style w:type="paragraph" w:customStyle="1" w:styleId="a0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1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2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2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2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2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3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4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2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4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698</Words>
  <Characters>808</Characters>
  <Application>Microsoft Office Word</Application>
  <DocSecurity>0</DocSecurity>
  <Lines>0</Lines>
  <Paragraphs>0</Paragraphs>
  <ScaleCrop>false</ScaleCrop>
  <Company/>
  <LinksUpToDate>false</LinksUpToDate>
  <CharactersWithSpaces>824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2026-06-10T08:12:06Z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eyJoZGlkIjoiZWI4NmUzMGY2ODA3MDc4ZTFlMjZjZTAyMjM0NmVmODgiLCJ1c2VySWQiOiIxMDc1MzgyOSJ9</vt:lpwstr>
  </property>
</Properties>
</file>