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2026年度应急演练大纲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SFKJ-ITSS-1002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_Toc1151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演练目的</w:t>
          </w:r>
          <w:r>
            <w:tab/>
          </w:r>
          <w:r>
            <w:fldChar w:fldCharType="begin"/>
          </w:r>
          <w:r>
            <w:instrText xml:space="preserve"> PAGEREF _Toc1151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_Toc22516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演练范围</w:t>
          </w:r>
          <w:r>
            <w:tab/>
          </w:r>
          <w:r>
            <w:fldChar w:fldCharType="begin"/>
          </w:r>
          <w:r>
            <w:instrText xml:space="preserve"> PAGEREF _Toc22516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_Toc23267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演练组织</w:t>
          </w:r>
          <w:r>
            <w:tab/>
          </w:r>
          <w:r>
            <w:fldChar w:fldCharType="begin"/>
          </w:r>
          <w:r>
            <w:instrText xml:space="preserve"> PAGEREF _Toc23267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_Toc13343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演练场景</w:t>
          </w:r>
          <w:r>
            <w:tab/>
          </w:r>
          <w:r>
            <w:fldChar w:fldCharType="begin"/>
          </w:r>
          <w:r>
            <w:instrText xml:space="preserve"> PAGEREF _Toc13343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_Toc13447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演练评估</w:t>
          </w:r>
          <w:r>
            <w:tab/>
          </w:r>
          <w:r>
            <w:fldChar w:fldCharType="begin"/>
          </w:r>
          <w:r>
            <w:instrText xml:space="preserve"> PAGEREF _Toc13447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_Toc14443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相关文件</w:t>
          </w:r>
          <w:r>
            <w:tab/>
          </w:r>
          <w:r>
            <w:fldChar w:fldCharType="begin"/>
          </w:r>
          <w:r>
            <w:instrText xml:space="preserve"> PAGEREF _Toc14443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_Toc26131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演练基本信息表</w:t>
      </w:r>
      <w:r>
        <w:tab/>
      </w:r>
      <w:r>
        <w:fldChar w:fldCharType="begin"/>
      </w:r>
      <w:r>
        <w:instrText xml:space="preserve"> PAGEREF _Toc26131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_Toc10066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演练岗位职责表</w:t>
      </w:r>
      <w:r>
        <w:tab/>
      </w:r>
      <w:r>
        <w:fldChar w:fldCharType="begin"/>
      </w:r>
      <w:r>
        <w:instrText xml:space="preserve"> PAGEREF _Toc10066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_Toc6647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演练场景表</w:t>
      </w:r>
      <w:r>
        <w:tab/>
      </w:r>
      <w:r>
        <w:fldChar w:fldCharType="begin"/>
      </w:r>
      <w:r>
        <w:instrText xml:space="preserve"> PAGEREF _Toc6647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_Toc25393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演练评估项目表</w:t>
      </w:r>
      <w:r>
        <w:tab/>
      </w:r>
      <w:r>
        <w:fldChar w:fldCharType="begin"/>
      </w:r>
      <w:r>
        <w:instrText xml:space="preserve"> PAGEREF _Toc25393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_Toc5474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演练相关材料表</w:t>
      </w:r>
      <w:r>
        <w:tab/>
      </w:r>
      <w:r>
        <w:fldChar w:fldCharType="begin"/>
      </w:r>
      <w:r>
        <w:instrText xml:space="preserve"> PAGEREF _Toc5474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heading_2"/>
      <w:bookmarkStart w:id="2" w:name="_Toc1151"/>
      <w:r>
        <w:t>演练目的</w:t>
      </w:r>
      <w:bookmarkEnd w:id="1"/>
      <w:bookmarkEnd w:id="2"/>
    </w:p>
    <w:p>
      <w:pPr>
        <w:pStyle w:val="a2"/>
        <w:bidi w:val="0"/>
        <w:rPr>
          <w:rFonts w:hint="eastAsia"/>
        </w:rPr>
      </w:pPr>
      <w:r>
        <w:rPr>
          <w:rFonts w:hint="eastAsia"/>
        </w:rPr>
        <w:t>本次应急演练旨在达成以下目标：</w:t>
      </w:r>
    </w:p>
    <w:p>
      <w:pPr>
        <w:pStyle w:val="a2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验证《2026年国电电力湖南新能源系统运维项目》应急预案的有效性和可操作性</w:t>
      </w:r>
    </w:p>
    <w:p>
      <w:pPr>
        <w:pStyle w:val="a2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检验应急响应团队的响应速度和处置能力</w:t>
      </w:r>
    </w:p>
    <w:p>
      <w:pPr>
        <w:pStyle w:val="a2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发现应急预案中存在的不足，提出改进措施</w:t>
      </w:r>
    </w:p>
    <w:p>
      <w:pPr>
        <w:pStyle w:val="a2"/>
        <w:numPr>
          <w:ilvl w:val="0"/>
          <w:numId w:val="2"/>
        </w:numPr>
        <w:bidi w:val="0"/>
        <w:ind w:left="425" w:hanging="425" w:leftChars="0" w:firstLineChars="0"/>
      </w:pPr>
      <w:r>
        <w:rPr>
          <w:rFonts w:hint="eastAsia"/>
        </w:rPr>
        <w:t>提升项目整体应急保障水平</w:t>
      </w:r>
    </w:p>
    <w:p>
      <w:pPr>
        <w:pStyle w:val="1"/>
        <w:bidi w:val="0"/>
      </w:pPr>
      <w:bookmarkStart w:id="3" w:name="_Toc22516"/>
      <w:bookmarkStart w:id="4" w:name="heading_3"/>
      <w:r>
        <w:t>演练范围</w:t>
      </w:r>
      <w:bookmarkEnd w:id="3"/>
      <w:bookmarkEnd w:id="4"/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21066"/>
      <w:bookmarkStart w:id="6" w:name="_Toc26131"/>
      <w:r>
        <w:rPr>
          <w:rFonts w:hint="eastAsia"/>
          <w:lang w:val="en-US" w:eastAsia="zh-CN"/>
        </w:rPr>
        <w:t xml:space="preserve"> </w:t>
      </w:r>
      <w:bookmarkEnd w:id="5"/>
      <w:r>
        <w:rPr>
          <w:rFonts w:hint="eastAsia"/>
          <w:lang w:val="en-US" w:eastAsia="zh-CN"/>
        </w:rPr>
        <w:t>演练基本信息表</w:t>
      </w:r>
      <w:bookmarkEnd w:id="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75"/>
        <w:gridCol w:w="654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7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项目</w:t>
            </w:r>
          </w:p>
        </w:tc>
        <w:tc>
          <w:tcPr>
            <w:tcW w:w="654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</w:pPr>
            <w:r>
              <w:t>演练项目</w:t>
            </w:r>
          </w:p>
        </w:tc>
        <w:tc>
          <w:tcPr>
            <w:tcW w:w="6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2026年国电电力湖南新能源系统运维项目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</w:pPr>
            <w:r>
              <w:t>演练类型</w:t>
            </w:r>
          </w:p>
        </w:tc>
        <w:tc>
          <w:tcPr>
            <w:tcW w:w="6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实战演练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</w:pPr>
            <w:r>
              <w:t>演练时间</w:t>
            </w:r>
          </w:p>
        </w:tc>
        <w:tc>
          <w:tcPr>
            <w:tcW w:w="6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2026年（具体时间待定）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</w:pPr>
            <w:r>
              <w:t>演练地点</w:t>
            </w:r>
          </w:p>
        </w:tc>
        <w:tc>
          <w:tcPr>
            <w:tcW w:w="6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客户现场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</w:pPr>
            <w:r>
              <w:t>参与人员</w:t>
            </w:r>
          </w:p>
        </w:tc>
        <w:tc>
          <w:tcPr>
            <w:tcW w:w="65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应急响应团队、项目运维人员</w:t>
            </w:r>
          </w:p>
        </w:tc>
      </w:tr>
    </w:tbl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1"/>
        <w:bidi w:val="0"/>
      </w:pPr>
      <w:bookmarkStart w:id="7" w:name="heading_4"/>
      <w:bookmarkStart w:id="8" w:name="_Toc23267"/>
      <w:r>
        <w:t>演练组织</w:t>
      </w:r>
      <w:bookmarkEnd w:id="7"/>
      <w:bookmarkEnd w:id="8"/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10066"/>
      <w:r>
        <w:rPr>
          <w:rFonts w:hint="eastAsia"/>
          <w:lang w:val="en-US" w:eastAsia="zh-CN"/>
        </w:rPr>
        <w:t xml:space="preserve"> 演练岗位职责表</w:t>
      </w:r>
      <w:bookmarkEnd w:id="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05"/>
        <w:gridCol w:w="3890"/>
        <w:gridCol w:w="292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389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</w:t>
            </w:r>
          </w:p>
        </w:tc>
        <w:tc>
          <w:tcPr>
            <w:tcW w:w="292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演练总指挥</w:t>
            </w:r>
          </w:p>
        </w:tc>
        <w:tc>
          <w:tcPr>
            <w:tcW w:w="38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负责演练整体指挥和决策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演练执行组长</w:t>
            </w:r>
          </w:p>
        </w:tc>
        <w:tc>
          <w:tcPr>
            <w:tcW w:w="38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运维项目经理</w:t>
            </w:r>
          </w:p>
        </w:tc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负责演练具体组织和协调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技术处置组</w:t>
            </w:r>
          </w:p>
        </w:tc>
        <w:tc>
          <w:tcPr>
            <w:tcW w:w="38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软件运维工程师、硬件运维工程师</w:t>
            </w:r>
          </w:p>
        </w:tc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负责技术问题排查和恢复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后勤保障组</w:t>
            </w:r>
          </w:p>
        </w:tc>
        <w:tc>
          <w:tcPr>
            <w:tcW w:w="38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备件库专员</w:t>
            </w:r>
          </w:p>
        </w:tc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负责备件调配和资源保障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评估观察组</w:t>
            </w:r>
          </w:p>
        </w:tc>
        <w:tc>
          <w:tcPr>
            <w:tcW w:w="38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质量部专员</w:t>
            </w:r>
          </w:p>
        </w:tc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负责演练过程记录和评估</w:t>
            </w:r>
          </w:p>
        </w:tc>
      </w:tr>
    </w:tbl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1"/>
        <w:bidi w:val="0"/>
      </w:pPr>
      <w:bookmarkStart w:id="10" w:name="heading_5"/>
      <w:bookmarkStart w:id="11" w:name="_Toc13343"/>
      <w:r>
        <w:t>演练场景</w:t>
      </w:r>
      <w:bookmarkEnd w:id="10"/>
      <w:bookmarkEnd w:id="11"/>
    </w:p>
    <w:p>
      <w:r>
        <w:br w:type="page"/>
      </w:r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6647"/>
      <w:r>
        <w:rPr>
          <w:rFonts w:hint="eastAsia"/>
          <w:lang w:val="en-US" w:eastAsia="zh-CN"/>
        </w:rPr>
        <w:t xml:space="preserve"> 演练场景表</w:t>
      </w:r>
      <w:bookmarkEnd w:id="1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44"/>
        <w:gridCol w:w="1920"/>
        <w:gridCol w:w="1290"/>
        <w:gridCol w:w="464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场景名称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演练类型</w:t>
            </w:r>
          </w:p>
        </w:tc>
        <w:tc>
          <w:tcPr>
            <w:tcW w:w="46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演练目标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服务器硬件故障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实战演练</w:t>
            </w:r>
          </w:p>
        </w:tc>
        <w:tc>
          <w:tcPr>
            <w:tcW w:w="46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验证服务器故障应急响应，测试备用服务器切换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数据库损坏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桌面推演</w:t>
            </w:r>
          </w:p>
        </w:tc>
        <w:tc>
          <w:tcPr>
            <w:tcW w:w="46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验证数据库恢复能力，测试备份恢复流程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网络中断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桌面推演</w:t>
            </w:r>
          </w:p>
        </w:tc>
        <w:tc>
          <w:tcPr>
            <w:tcW w:w="46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验证网络故障应急响应，测试备用线路切换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4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现场设备故障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实战演练</w:t>
            </w:r>
          </w:p>
        </w:tc>
        <w:tc>
          <w:tcPr>
            <w:tcW w:w="46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验证现场设备故障应急响应，测试备件更换流程</w:t>
            </w:r>
          </w:p>
        </w:tc>
      </w:tr>
    </w:tbl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1"/>
        <w:bidi w:val="0"/>
      </w:pPr>
      <w:bookmarkStart w:id="13" w:name="heading_11"/>
      <w:bookmarkStart w:id="14" w:name="_Toc13447"/>
      <w:r>
        <w:t>演练评估</w:t>
      </w:r>
      <w:bookmarkEnd w:id="13"/>
      <w:bookmarkEnd w:id="14"/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25393"/>
      <w:r>
        <w:rPr>
          <w:rFonts w:hint="eastAsia"/>
          <w:lang w:val="en-US" w:eastAsia="zh-CN"/>
        </w:rPr>
        <w:t xml:space="preserve"> 演练评估项目表</w:t>
      </w:r>
      <w:bookmarkEnd w:id="1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992"/>
        <w:gridCol w:w="4158"/>
        <w:gridCol w:w="137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99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评估项</w:t>
            </w:r>
          </w:p>
        </w:tc>
        <w:tc>
          <w:tcPr>
            <w:tcW w:w="415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评估标准</w:t>
            </w:r>
          </w:p>
        </w:tc>
        <w:tc>
          <w:tcPr>
            <w:tcW w:w="137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分值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响应及时性</w:t>
            </w:r>
          </w:p>
        </w:tc>
        <w:tc>
          <w:tcPr>
            <w:tcW w:w="41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是否在规定时间内响应</w:t>
            </w:r>
          </w:p>
        </w:tc>
        <w:tc>
          <w:tcPr>
            <w:tcW w:w="13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处置规范性</w:t>
            </w:r>
          </w:p>
        </w:tc>
        <w:tc>
          <w:tcPr>
            <w:tcW w:w="41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是否按应急预案执行</w:t>
            </w:r>
          </w:p>
        </w:tc>
        <w:tc>
          <w:tcPr>
            <w:tcW w:w="13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技术操作准确性</w:t>
            </w:r>
          </w:p>
        </w:tc>
        <w:tc>
          <w:tcPr>
            <w:tcW w:w="41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技术操作是否正确有效</w:t>
            </w:r>
          </w:p>
        </w:tc>
        <w:tc>
          <w:tcPr>
            <w:tcW w:w="13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团队协作</w:t>
            </w:r>
          </w:p>
        </w:tc>
        <w:tc>
          <w:tcPr>
            <w:tcW w:w="41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团队配合是否顺畅</w:t>
            </w:r>
          </w:p>
        </w:tc>
        <w:tc>
          <w:tcPr>
            <w:tcW w:w="13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15分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信息通报</w:t>
            </w:r>
          </w:p>
        </w:tc>
        <w:tc>
          <w:tcPr>
            <w:tcW w:w="41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信息报告是否及时准确</w:t>
            </w:r>
          </w:p>
        </w:tc>
        <w:tc>
          <w:tcPr>
            <w:tcW w:w="13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15分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恢复时效</w:t>
            </w:r>
          </w:p>
        </w:tc>
        <w:tc>
          <w:tcPr>
            <w:tcW w:w="41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是否在RTO内完成恢复</w:t>
            </w:r>
          </w:p>
        </w:tc>
        <w:tc>
          <w:tcPr>
            <w:tcW w:w="13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9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总分</w:t>
            </w:r>
          </w:p>
        </w:tc>
        <w:tc>
          <w:tcPr>
            <w:tcW w:w="41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b/>
              </w:rPr>
            </w:pPr>
          </w:p>
        </w:tc>
        <w:tc>
          <w:tcPr>
            <w:tcW w:w="13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100分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Style w:val="Char"/>
        </w:rPr>
        <w:t>评估等级：≥90分为优秀，75-89分为良好，60-74分为合格，&lt;60分为不合格</w:t>
      </w:r>
    </w:p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14443"/>
      <w:r>
        <w:rPr>
          <w:rFonts w:hint="eastAsia"/>
          <w:lang w:val="en-US" w:eastAsia="zh-CN"/>
        </w:rPr>
        <w:t>相关文件</w:t>
      </w:r>
      <w:bookmarkEnd w:id="16"/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7" w:name="_Toc5474"/>
      <w:r>
        <w:rPr>
          <w:rFonts w:hint="eastAsia"/>
          <w:lang w:val="en-US" w:eastAsia="zh-CN"/>
        </w:rPr>
        <w:t xml:space="preserve"> 演练相关材料表</w:t>
      </w:r>
      <w:bookmarkEnd w:id="1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5"/>
        <w:gridCol w:w="2097"/>
        <w:gridCol w:w="473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文件名称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文件编号</w:t>
            </w:r>
          </w:p>
        </w:tc>
        <w:tc>
          <w:tcPr>
            <w:tcW w:w="473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应急演练预案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SFKJ-ITSS-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1003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依据本大纲制定，细化演练流程和操作步骤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应急演练计划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SFKJ-ITSS-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1004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明确具体时间、地点、人员、物资安排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6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应急演练报告</w:t>
            </w:r>
          </w:p>
        </w:tc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SFKJ-ITSS-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1005</w:t>
            </w:r>
            <w:bookmarkStart w:id="18" w:name="_GoBack"/>
            <w:bookmarkEnd w:id="18"/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演练后总结评估，记录问题和改进</w:t>
            </w:r>
          </w:p>
        </w:tc>
      </w:tr>
    </w:tbl>
    <w:p>
      <w:pPr>
        <w:pStyle w:val="a2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25213122"/>
    <w:multiLevelType w:val="singleLevel"/>
    <w:tmpl w:val="2521312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879</Words>
  <Characters>1019</Characters>
  <Application>Microsoft Office Word</Application>
  <DocSecurity>0</DocSecurity>
  <Lines>0</Lines>
  <Paragraphs>0</Paragraphs>
  <ScaleCrop>false</ScaleCrop>
  <Company/>
  <LinksUpToDate>false</LinksUpToDate>
  <CharactersWithSpaces>1073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2026-04-06T04:28:05Z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