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DE564A">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14:paraId="0ECE2050">
      <w:pPr>
        <w:pStyle w:val="28"/>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2026年度运维服务能力管理计划</w:t>
      </w:r>
    </w:p>
    <w:tbl>
      <w:tblPr>
        <w:tblStyle w:val="24"/>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07F8DD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9589EF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3BCFCE1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SFKJ-ITSS-0305</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309406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D64AAE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799B69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0BA81F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64B8D212">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汪锦坤</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A7BDC5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14952C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14:paraId="341D95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4B7432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396FEEE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8EA9EF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7DB66A96">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14:paraId="37C25C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C11073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6C81E7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E0DFB6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9D19CA6">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14:paraId="296614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649FB81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4D9ED67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7CB93AA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3337F49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14:paraId="68664D7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60FF410C">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4"/>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3AB5FA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1A1CBA1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379197B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3442AEE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231E708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0BD1CD4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4D52EA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6BB0412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E4C2EC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DFF5D4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汪锦坤</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367F1A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6"/>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5FB1682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091FFA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5CD0605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6FEBD2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13D215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F74883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0A22E64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228E75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354EEE4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AF2737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1E94B6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AD4D04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375B130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17375E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0408894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266FA17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1AB35AC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3ED0435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5C075F9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6"/>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1E1E96A7">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6"/>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75207"/>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2A610ACA">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3AE0F994">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TOC \o "1-3" \h \u </w:instrText>
          </w:r>
          <w:r>
            <w:fldChar w:fldCharType="separate"/>
          </w:r>
          <w:r>
            <w:fldChar w:fldCharType="begin"/>
          </w:r>
          <w:r>
            <w:instrText xml:space="preserve"> HYPERLINK \l _Toc6885 </w:instrText>
          </w:r>
          <w:r>
            <w:fldChar w:fldCharType="separate"/>
          </w:r>
          <w:r>
            <w:rPr>
              <w:rFonts w:hint="default"/>
              <w:lang w:val="en-US" w:eastAsia="zh-CN"/>
            </w:rPr>
            <w:t>1. 公司现状分析</w:t>
          </w:r>
          <w:r>
            <w:tab/>
          </w:r>
          <w:r>
            <w:fldChar w:fldCharType="begin"/>
          </w:r>
          <w:r>
            <w:instrText xml:space="preserve"> PAGEREF _Toc6885 \h </w:instrText>
          </w:r>
          <w:r>
            <w:fldChar w:fldCharType="separate"/>
          </w:r>
          <w:r>
            <w:t>6</w:t>
          </w:r>
          <w:r>
            <w:fldChar w:fldCharType="end"/>
          </w:r>
          <w:r>
            <w:fldChar w:fldCharType="end"/>
          </w:r>
        </w:p>
        <w:p w14:paraId="7DD0ED47">
          <w:pPr>
            <w:pStyle w:val="19"/>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_Toc928 </w:instrText>
          </w:r>
          <w:r>
            <w:fldChar w:fldCharType="separate"/>
          </w:r>
          <w:r>
            <w:rPr>
              <w:rFonts w:hint="default"/>
              <w:lang w:val="en-US" w:eastAsia="zh-CN"/>
            </w:rPr>
            <w:t>1.1. 优势分析</w:t>
          </w:r>
          <w:r>
            <w:tab/>
          </w:r>
          <w:r>
            <w:fldChar w:fldCharType="begin"/>
          </w:r>
          <w:r>
            <w:instrText xml:space="preserve"> PAGEREF _Toc928 \h </w:instrText>
          </w:r>
          <w:r>
            <w:fldChar w:fldCharType="separate"/>
          </w:r>
          <w:r>
            <w:t>6</w:t>
          </w:r>
          <w:r>
            <w:fldChar w:fldCharType="end"/>
          </w:r>
          <w:r>
            <w:fldChar w:fldCharType="end"/>
          </w:r>
        </w:p>
        <w:p w14:paraId="70BB94D1">
          <w:pPr>
            <w:pStyle w:val="19"/>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_Toc24875 </w:instrText>
          </w:r>
          <w:r>
            <w:fldChar w:fldCharType="separate"/>
          </w:r>
          <w:r>
            <w:rPr>
              <w:rFonts w:hint="default"/>
              <w:lang w:val="en-US" w:eastAsia="zh-CN"/>
            </w:rPr>
            <w:t>1.2. 待改进方面</w:t>
          </w:r>
          <w:r>
            <w:tab/>
          </w:r>
          <w:r>
            <w:fldChar w:fldCharType="begin"/>
          </w:r>
          <w:r>
            <w:instrText xml:space="preserve"> PAGEREF _Toc24875 \h </w:instrText>
          </w:r>
          <w:r>
            <w:fldChar w:fldCharType="separate"/>
          </w:r>
          <w:r>
            <w:t>6</w:t>
          </w:r>
          <w:r>
            <w:fldChar w:fldCharType="end"/>
          </w:r>
          <w:r>
            <w:fldChar w:fldCharType="end"/>
          </w:r>
        </w:p>
        <w:p w14:paraId="727A4468">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_Toc962 </w:instrText>
          </w:r>
          <w:r>
            <w:fldChar w:fldCharType="separate"/>
          </w:r>
          <w:r>
            <w:rPr>
              <w:rFonts w:hint="default"/>
              <w:lang w:val="en-US" w:eastAsia="zh-CN"/>
            </w:rPr>
            <w:t>2. 运维业务分析</w:t>
          </w:r>
          <w:r>
            <w:tab/>
          </w:r>
          <w:r>
            <w:fldChar w:fldCharType="begin"/>
          </w:r>
          <w:r>
            <w:instrText xml:space="preserve"> PAGEREF _Toc962 \h </w:instrText>
          </w:r>
          <w:r>
            <w:fldChar w:fldCharType="separate"/>
          </w:r>
          <w:r>
            <w:t>6</w:t>
          </w:r>
          <w:r>
            <w:fldChar w:fldCharType="end"/>
          </w:r>
          <w:r>
            <w:fldChar w:fldCharType="end"/>
          </w:r>
        </w:p>
        <w:p w14:paraId="46CF72F0">
          <w:pPr>
            <w:pStyle w:val="19"/>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_Toc8971 </w:instrText>
          </w:r>
          <w:r>
            <w:fldChar w:fldCharType="separate"/>
          </w:r>
          <w:r>
            <w:rPr>
              <w:rFonts w:hint="default"/>
              <w:lang w:val="en-US" w:eastAsia="zh-CN"/>
            </w:rPr>
            <w:t>2.1. 开展运维服务的优势</w:t>
          </w:r>
          <w:r>
            <w:tab/>
          </w:r>
          <w:r>
            <w:fldChar w:fldCharType="begin"/>
          </w:r>
          <w:r>
            <w:instrText xml:space="preserve"> PAGEREF _Toc8971 \h </w:instrText>
          </w:r>
          <w:r>
            <w:fldChar w:fldCharType="separate"/>
          </w:r>
          <w:r>
            <w:t>6</w:t>
          </w:r>
          <w:r>
            <w:fldChar w:fldCharType="end"/>
          </w:r>
          <w:r>
            <w:fldChar w:fldCharType="end"/>
          </w:r>
        </w:p>
        <w:p w14:paraId="47EB48C6">
          <w:pPr>
            <w:pStyle w:val="19"/>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_Toc17913 </w:instrText>
          </w:r>
          <w:r>
            <w:fldChar w:fldCharType="separate"/>
          </w:r>
          <w:r>
            <w:rPr>
              <w:rFonts w:hint="default"/>
              <w:lang w:val="en-US" w:eastAsia="zh-CN"/>
            </w:rPr>
            <w:t>2.2. 开展运维服务的待改进方面</w:t>
          </w:r>
          <w:r>
            <w:tab/>
          </w:r>
          <w:r>
            <w:fldChar w:fldCharType="begin"/>
          </w:r>
          <w:r>
            <w:instrText xml:space="preserve"> PAGEREF _Toc17913 \h </w:instrText>
          </w:r>
          <w:r>
            <w:fldChar w:fldCharType="separate"/>
          </w:r>
          <w:r>
            <w:t>7</w:t>
          </w:r>
          <w:r>
            <w:fldChar w:fldCharType="end"/>
          </w:r>
          <w:r>
            <w:fldChar w:fldCharType="end"/>
          </w:r>
        </w:p>
        <w:p w14:paraId="1F2B0609">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_Toc22785 </w:instrText>
          </w:r>
          <w:r>
            <w:fldChar w:fldCharType="separate"/>
          </w:r>
          <w:r>
            <w:rPr>
              <w:rFonts w:hint="default"/>
              <w:lang w:val="en-US" w:eastAsia="zh-CN"/>
            </w:rPr>
            <w:t>2.2.1. 人员管理方面</w:t>
          </w:r>
          <w:r>
            <w:tab/>
          </w:r>
          <w:r>
            <w:fldChar w:fldCharType="begin"/>
          </w:r>
          <w:r>
            <w:instrText xml:space="preserve"> PAGEREF _Toc22785 \h </w:instrText>
          </w:r>
          <w:r>
            <w:fldChar w:fldCharType="separate"/>
          </w:r>
          <w:r>
            <w:t>7</w:t>
          </w:r>
          <w:r>
            <w:fldChar w:fldCharType="end"/>
          </w:r>
          <w:r>
            <w:fldChar w:fldCharType="end"/>
          </w:r>
        </w:p>
        <w:p w14:paraId="287E4104">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_Toc29153 </w:instrText>
          </w:r>
          <w:r>
            <w:fldChar w:fldCharType="separate"/>
          </w:r>
          <w:r>
            <w:rPr>
              <w:rFonts w:hint="default"/>
              <w:lang w:val="en-US" w:eastAsia="zh-CN"/>
            </w:rPr>
            <w:t>2.2.2. 资源管理方面</w:t>
          </w:r>
          <w:r>
            <w:tab/>
          </w:r>
          <w:r>
            <w:fldChar w:fldCharType="begin"/>
          </w:r>
          <w:r>
            <w:instrText xml:space="preserve"> PAGEREF _Toc29153 \h </w:instrText>
          </w:r>
          <w:r>
            <w:fldChar w:fldCharType="separate"/>
          </w:r>
          <w:r>
            <w:t>7</w:t>
          </w:r>
          <w:r>
            <w:fldChar w:fldCharType="end"/>
          </w:r>
          <w:r>
            <w:fldChar w:fldCharType="end"/>
          </w:r>
        </w:p>
        <w:p w14:paraId="51B1D908">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_Toc8455 </w:instrText>
          </w:r>
          <w:r>
            <w:fldChar w:fldCharType="separate"/>
          </w:r>
          <w:r>
            <w:rPr>
              <w:rFonts w:hint="default"/>
              <w:lang w:val="en-US" w:eastAsia="zh-CN"/>
            </w:rPr>
            <w:t>2.2.3. 技术管理方面</w:t>
          </w:r>
          <w:r>
            <w:tab/>
          </w:r>
          <w:r>
            <w:fldChar w:fldCharType="begin"/>
          </w:r>
          <w:r>
            <w:instrText xml:space="preserve"> PAGEREF _Toc8455 \h </w:instrText>
          </w:r>
          <w:r>
            <w:fldChar w:fldCharType="separate"/>
          </w:r>
          <w:r>
            <w:t>7</w:t>
          </w:r>
          <w:r>
            <w:fldChar w:fldCharType="end"/>
          </w:r>
          <w:r>
            <w:fldChar w:fldCharType="end"/>
          </w:r>
        </w:p>
        <w:p w14:paraId="2A0DE5F7">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_Toc5935 </w:instrText>
          </w:r>
          <w:r>
            <w:fldChar w:fldCharType="separate"/>
          </w:r>
          <w:r>
            <w:rPr>
              <w:rFonts w:hint="default"/>
              <w:lang w:val="en-US" w:eastAsia="zh-CN"/>
            </w:rPr>
            <w:t>2.2.4. 过程管理方面</w:t>
          </w:r>
          <w:r>
            <w:tab/>
          </w:r>
          <w:r>
            <w:fldChar w:fldCharType="begin"/>
          </w:r>
          <w:r>
            <w:instrText xml:space="preserve"> PAGEREF _Toc5935 \h </w:instrText>
          </w:r>
          <w:r>
            <w:fldChar w:fldCharType="separate"/>
          </w:r>
          <w:r>
            <w:t>7</w:t>
          </w:r>
          <w:r>
            <w:fldChar w:fldCharType="end"/>
          </w:r>
          <w:r>
            <w:fldChar w:fldCharType="end"/>
          </w:r>
        </w:p>
        <w:p w14:paraId="71C0D60D">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_Toc5916 </w:instrText>
          </w:r>
          <w:r>
            <w:fldChar w:fldCharType="separate"/>
          </w:r>
          <w:r>
            <w:rPr>
              <w:rFonts w:hint="default"/>
              <w:lang w:val="en-US" w:eastAsia="zh-CN"/>
            </w:rPr>
            <w:t>3. 年度运维服务能力计划</w:t>
          </w:r>
          <w:r>
            <w:tab/>
          </w:r>
          <w:r>
            <w:fldChar w:fldCharType="begin"/>
          </w:r>
          <w:r>
            <w:instrText xml:space="preserve"> PAGEREF _Toc5916 \h </w:instrText>
          </w:r>
          <w:r>
            <w:fldChar w:fldCharType="separate"/>
          </w:r>
          <w:r>
            <w:t>7</w:t>
          </w:r>
          <w:r>
            <w:fldChar w:fldCharType="end"/>
          </w:r>
          <w:r>
            <w:fldChar w:fldCharType="end"/>
          </w:r>
        </w:p>
        <w:p w14:paraId="74C0F8A2">
          <w:pPr>
            <w:pStyle w:val="19"/>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_Toc26777 </w:instrText>
          </w:r>
          <w:r>
            <w:fldChar w:fldCharType="separate"/>
          </w:r>
          <w:r>
            <w:rPr>
              <w:rFonts w:hint="default"/>
              <w:lang w:val="en-US" w:eastAsia="zh-CN"/>
            </w:rPr>
            <w:t>3.1. 人员管理规划</w:t>
          </w:r>
          <w:r>
            <w:tab/>
          </w:r>
          <w:r>
            <w:fldChar w:fldCharType="begin"/>
          </w:r>
          <w:r>
            <w:instrText xml:space="preserve"> PAGEREF _Toc26777 \h </w:instrText>
          </w:r>
          <w:r>
            <w:fldChar w:fldCharType="separate"/>
          </w:r>
          <w:r>
            <w:t>8</w:t>
          </w:r>
          <w:r>
            <w:fldChar w:fldCharType="end"/>
          </w:r>
          <w:r>
            <w:fldChar w:fldCharType="end"/>
          </w:r>
        </w:p>
        <w:p w14:paraId="650860C3">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_Toc22274 </w:instrText>
          </w:r>
          <w:r>
            <w:fldChar w:fldCharType="separate"/>
          </w:r>
          <w:r>
            <w:rPr>
              <w:rFonts w:hint="default"/>
              <w:lang w:val="en-US" w:eastAsia="zh-CN"/>
            </w:rPr>
            <w:t xml:space="preserve">3.1.1. </w:t>
          </w:r>
          <w:r>
            <w:rPr>
              <w:rFonts w:hint="eastAsia"/>
              <w:lang w:val="en-US" w:eastAsia="zh-CN"/>
            </w:rPr>
            <w:t>人员招聘计划</w:t>
          </w:r>
          <w:r>
            <w:tab/>
          </w:r>
          <w:r>
            <w:fldChar w:fldCharType="begin"/>
          </w:r>
          <w:r>
            <w:instrText xml:space="preserve"> PAGEREF _Toc22274 \h </w:instrText>
          </w:r>
          <w:r>
            <w:fldChar w:fldCharType="separate"/>
          </w:r>
          <w:r>
            <w:t>8</w:t>
          </w:r>
          <w:r>
            <w:fldChar w:fldCharType="end"/>
          </w:r>
          <w:r>
            <w:fldChar w:fldCharType="end"/>
          </w:r>
        </w:p>
        <w:p w14:paraId="7840DFB1">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_Toc7963 </w:instrText>
          </w:r>
          <w:r>
            <w:fldChar w:fldCharType="separate"/>
          </w:r>
          <w:r>
            <w:rPr>
              <w:rFonts w:hint="default"/>
              <w:lang w:val="en-US" w:eastAsia="zh-CN"/>
            </w:rPr>
            <w:t xml:space="preserve">3.1.2. </w:t>
          </w:r>
          <w:r>
            <w:rPr>
              <w:rFonts w:hint="eastAsia"/>
              <w:lang w:val="en-US" w:eastAsia="zh-CN"/>
            </w:rPr>
            <w:t>人员储备计划</w:t>
          </w:r>
          <w:r>
            <w:tab/>
          </w:r>
          <w:r>
            <w:fldChar w:fldCharType="begin"/>
          </w:r>
          <w:r>
            <w:instrText xml:space="preserve"> PAGEREF _Toc7963 \h </w:instrText>
          </w:r>
          <w:r>
            <w:fldChar w:fldCharType="separate"/>
          </w:r>
          <w:r>
            <w:t>8</w:t>
          </w:r>
          <w:r>
            <w:fldChar w:fldCharType="end"/>
          </w:r>
          <w:r>
            <w:fldChar w:fldCharType="end"/>
          </w:r>
        </w:p>
        <w:p w14:paraId="469BE431">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_Toc6400 </w:instrText>
          </w:r>
          <w:r>
            <w:fldChar w:fldCharType="separate"/>
          </w:r>
          <w:r>
            <w:rPr>
              <w:rFonts w:hint="default"/>
              <w:lang w:val="en-US" w:eastAsia="zh-CN"/>
            </w:rPr>
            <w:t xml:space="preserve">3.1.3. </w:t>
          </w:r>
          <w:r>
            <w:rPr>
              <w:rFonts w:hint="eastAsia"/>
              <w:lang w:val="en-US" w:eastAsia="zh-CN"/>
            </w:rPr>
            <w:t>人员培训计划</w:t>
          </w:r>
          <w:r>
            <w:tab/>
          </w:r>
          <w:r>
            <w:fldChar w:fldCharType="begin"/>
          </w:r>
          <w:r>
            <w:instrText xml:space="preserve"> PAGEREF _Toc6400 \h </w:instrText>
          </w:r>
          <w:r>
            <w:fldChar w:fldCharType="separate"/>
          </w:r>
          <w:r>
            <w:t>9</w:t>
          </w:r>
          <w:r>
            <w:fldChar w:fldCharType="end"/>
          </w:r>
          <w:r>
            <w:fldChar w:fldCharType="end"/>
          </w:r>
        </w:p>
        <w:p w14:paraId="5A0E0858">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_Toc20530 </w:instrText>
          </w:r>
          <w:r>
            <w:fldChar w:fldCharType="separate"/>
          </w:r>
          <w:r>
            <w:rPr>
              <w:rFonts w:hint="default"/>
              <w:lang w:val="en-US" w:eastAsia="zh-CN"/>
            </w:rPr>
            <w:t xml:space="preserve">3.1.4. </w:t>
          </w:r>
          <w:r>
            <w:rPr>
              <w:rFonts w:hint="eastAsia"/>
              <w:lang w:val="en-US" w:eastAsia="zh-CN"/>
            </w:rPr>
            <w:t>人员备份计划</w:t>
          </w:r>
          <w:r>
            <w:tab/>
          </w:r>
          <w:r>
            <w:fldChar w:fldCharType="begin"/>
          </w:r>
          <w:r>
            <w:instrText xml:space="preserve"> PAGEREF _Toc20530 \h </w:instrText>
          </w:r>
          <w:r>
            <w:fldChar w:fldCharType="separate"/>
          </w:r>
          <w:r>
            <w:t>12</w:t>
          </w:r>
          <w:r>
            <w:fldChar w:fldCharType="end"/>
          </w:r>
          <w:r>
            <w:fldChar w:fldCharType="end"/>
          </w:r>
        </w:p>
        <w:p w14:paraId="05CD5CB8">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_Toc10668 </w:instrText>
          </w:r>
          <w:r>
            <w:fldChar w:fldCharType="separate"/>
          </w:r>
          <w:r>
            <w:rPr>
              <w:rFonts w:hint="default"/>
              <w:lang w:val="en-US" w:eastAsia="zh-CN"/>
            </w:rPr>
            <w:t xml:space="preserve">3.1.5. </w:t>
          </w:r>
          <w:r>
            <w:rPr>
              <w:rFonts w:hint="eastAsia"/>
              <w:lang w:val="en-US" w:eastAsia="zh-CN"/>
            </w:rPr>
            <w:t>人员绩效考核计划</w:t>
          </w:r>
          <w:r>
            <w:tab/>
          </w:r>
          <w:r>
            <w:fldChar w:fldCharType="begin"/>
          </w:r>
          <w:r>
            <w:instrText xml:space="preserve"> PAGEREF _Toc10668 \h </w:instrText>
          </w:r>
          <w:r>
            <w:fldChar w:fldCharType="separate"/>
          </w:r>
          <w:r>
            <w:t>13</w:t>
          </w:r>
          <w:r>
            <w:fldChar w:fldCharType="end"/>
          </w:r>
          <w:r>
            <w:fldChar w:fldCharType="end"/>
          </w:r>
        </w:p>
        <w:p w14:paraId="354C07F0">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_Toc5882 </w:instrText>
          </w:r>
          <w:r>
            <w:fldChar w:fldCharType="separate"/>
          </w:r>
          <w:r>
            <w:rPr>
              <w:rFonts w:hint="default"/>
              <w:lang w:val="en-US" w:eastAsia="zh-CN"/>
            </w:rPr>
            <w:t xml:space="preserve">3.1.6. </w:t>
          </w:r>
          <w:r>
            <w:rPr>
              <w:rFonts w:hint="eastAsia"/>
              <w:lang w:val="en-US" w:eastAsia="zh-CN"/>
            </w:rPr>
            <w:t>人员技能评定计划</w:t>
          </w:r>
          <w:r>
            <w:tab/>
          </w:r>
          <w:r>
            <w:fldChar w:fldCharType="begin"/>
          </w:r>
          <w:r>
            <w:instrText xml:space="preserve"> PAGEREF _Toc5882 \h </w:instrText>
          </w:r>
          <w:r>
            <w:fldChar w:fldCharType="separate"/>
          </w:r>
          <w:r>
            <w:t>13</w:t>
          </w:r>
          <w:r>
            <w:fldChar w:fldCharType="end"/>
          </w:r>
          <w:r>
            <w:fldChar w:fldCharType="end"/>
          </w:r>
        </w:p>
        <w:p w14:paraId="63BEA562">
          <w:pPr>
            <w:pStyle w:val="19"/>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_Toc15625 </w:instrText>
          </w:r>
          <w:r>
            <w:fldChar w:fldCharType="separate"/>
          </w:r>
          <w:r>
            <w:rPr>
              <w:rFonts w:hint="default"/>
              <w:lang w:val="en-US" w:eastAsia="zh-CN"/>
            </w:rPr>
            <w:t xml:space="preserve">3.2. </w:t>
          </w:r>
          <w:r>
            <w:rPr>
              <w:rFonts w:hint="eastAsia"/>
              <w:lang w:val="en-US" w:eastAsia="zh-CN"/>
            </w:rPr>
            <w:t>资源管理规划</w:t>
          </w:r>
          <w:r>
            <w:tab/>
          </w:r>
          <w:r>
            <w:fldChar w:fldCharType="begin"/>
          </w:r>
          <w:r>
            <w:instrText xml:space="preserve"> PAGEREF _Toc15625 \h </w:instrText>
          </w:r>
          <w:r>
            <w:fldChar w:fldCharType="separate"/>
          </w:r>
          <w:r>
            <w:t>15</w:t>
          </w:r>
          <w:r>
            <w:fldChar w:fldCharType="end"/>
          </w:r>
          <w:r>
            <w:fldChar w:fldCharType="end"/>
          </w:r>
        </w:p>
        <w:p w14:paraId="1A6D85F4">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_Toc12131 </w:instrText>
          </w:r>
          <w:r>
            <w:fldChar w:fldCharType="separate"/>
          </w:r>
          <w:r>
            <w:rPr>
              <w:rFonts w:hint="default"/>
              <w:lang w:val="en-US" w:eastAsia="zh-CN"/>
            </w:rPr>
            <w:t>3.2.1. 运维工具管理</w:t>
          </w:r>
          <w:r>
            <w:tab/>
          </w:r>
          <w:r>
            <w:fldChar w:fldCharType="begin"/>
          </w:r>
          <w:r>
            <w:instrText xml:space="preserve"> PAGEREF _Toc12131 \h </w:instrText>
          </w:r>
          <w:r>
            <w:fldChar w:fldCharType="separate"/>
          </w:r>
          <w:r>
            <w:t>15</w:t>
          </w:r>
          <w:r>
            <w:fldChar w:fldCharType="end"/>
          </w:r>
          <w:r>
            <w:fldChar w:fldCharType="end"/>
          </w:r>
        </w:p>
        <w:p w14:paraId="7AA59E1B">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_Toc24438 </w:instrText>
          </w:r>
          <w:r>
            <w:fldChar w:fldCharType="separate"/>
          </w:r>
          <w:r>
            <w:rPr>
              <w:rFonts w:hint="default"/>
              <w:lang w:val="en-US" w:eastAsia="zh-CN"/>
            </w:rPr>
            <w:t>3.2.2. 服务知识管理</w:t>
          </w:r>
          <w:r>
            <w:tab/>
          </w:r>
          <w:r>
            <w:fldChar w:fldCharType="begin"/>
          </w:r>
          <w:r>
            <w:instrText xml:space="preserve"> PAGEREF _Toc24438 \h </w:instrText>
          </w:r>
          <w:r>
            <w:fldChar w:fldCharType="separate"/>
          </w:r>
          <w:r>
            <w:t>15</w:t>
          </w:r>
          <w:r>
            <w:fldChar w:fldCharType="end"/>
          </w:r>
          <w:r>
            <w:fldChar w:fldCharType="end"/>
          </w:r>
        </w:p>
        <w:p w14:paraId="352C258F">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_Toc23500 </w:instrText>
          </w:r>
          <w:r>
            <w:fldChar w:fldCharType="separate"/>
          </w:r>
          <w:r>
            <w:rPr>
              <w:rFonts w:hint="default"/>
              <w:lang w:val="en-US" w:eastAsia="zh-CN"/>
            </w:rPr>
            <w:t>3.2.3. 服务台管理</w:t>
          </w:r>
          <w:r>
            <w:tab/>
          </w:r>
          <w:r>
            <w:fldChar w:fldCharType="begin"/>
          </w:r>
          <w:r>
            <w:instrText xml:space="preserve"> PAGEREF _Toc23500 \h </w:instrText>
          </w:r>
          <w:r>
            <w:fldChar w:fldCharType="separate"/>
          </w:r>
          <w:r>
            <w:t>16</w:t>
          </w:r>
          <w:r>
            <w:fldChar w:fldCharType="end"/>
          </w:r>
          <w:r>
            <w:fldChar w:fldCharType="end"/>
          </w:r>
        </w:p>
        <w:p w14:paraId="0B9902AD">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_Toc6983 </w:instrText>
          </w:r>
          <w:r>
            <w:fldChar w:fldCharType="separate"/>
          </w:r>
          <w:r>
            <w:rPr>
              <w:rFonts w:hint="default"/>
              <w:lang w:val="en-US" w:eastAsia="zh-CN"/>
            </w:rPr>
            <w:t>3.2.4. 备件库管理</w:t>
          </w:r>
          <w:r>
            <w:tab/>
          </w:r>
          <w:r>
            <w:fldChar w:fldCharType="begin"/>
          </w:r>
          <w:r>
            <w:instrText xml:space="preserve"> PAGEREF _Toc6983 \h </w:instrText>
          </w:r>
          <w:r>
            <w:fldChar w:fldCharType="separate"/>
          </w:r>
          <w:r>
            <w:t>17</w:t>
          </w:r>
          <w:r>
            <w:fldChar w:fldCharType="end"/>
          </w:r>
          <w:r>
            <w:fldChar w:fldCharType="end"/>
          </w:r>
        </w:p>
        <w:p w14:paraId="3C0AF7CA">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_Toc28879 </w:instrText>
          </w:r>
          <w:r>
            <w:fldChar w:fldCharType="separate"/>
          </w:r>
          <w:r>
            <w:rPr>
              <w:rFonts w:hint="default"/>
              <w:lang w:val="en-US" w:eastAsia="zh-CN"/>
            </w:rPr>
            <w:t>3.2.5. 最终软件库管理</w:t>
          </w:r>
          <w:r>
            <w:tab/>
          </w:r>
          <w:r>
            <w:fldChar w:fldCharType="begin"/>
          </w:r>
          <w:r>
            <w:instrText xml:space="preserve"> PAGEREF _Toc28879 \h </w:instrText>
          </w:r>
          <w:r>
            <w:fldChar w:fldCharType="separate"/>
          </w:r>
          <w:r>
            <w:t>18</w:t>
          </w:r>
          <w:r>
            <w:fldChar w:fldCharType="end"/>
          </w:r>
          <w:r>
            <w:fldChar w:fldCharType="end"/>
          </w:r>
        </w:p>
        <w:p w14:paraId="559D12C2">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_Toc24577 </w:instrText>
          </w:r>
          <w:r>
            <w:fldChar w:fldCharType="separate"/>
          </w:r>
          <w:r>
            <w:rPr>
              <w:rFonts w:hint="default"/>
              <w:lang w:val="en-US" w:eastAsia="zh-CN"/>
            </w:rPr>
            <w:t>3.2.6. 服务数据管理</w:t>
          </w:r>
          <w:r>
            <w:tab/>
          </w:r>
          <w:r>
            <w:fldChar w:fldCharType="begin"/>
          </w:r>
          <w:r>
            <w:instrText xml:space="preserve"> PAGEREF _Toc24577 \h </w:instrText>
          </w:r>
          <w:r>
            <w:fldChar w:fldCharType="separate"/>
          </w:r>
          <w:r>
            <w:t>18</w:t>
          </w:r>
          <w:r>
            <w:fldChar w:fldCharType="end"/>
          </w:r>
          <w:r>
            <w:fldChar w:fldCharType="end"/>
          </w:r>
        </w:p>
        <w:p w14:paraId="011FC79E">
          <w:pPr>
            <w:pStyle w:val="19"/>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_Toc32763 </w:instrText>
          </w:r>
          <w:r>
            <w:fldChar w:fldCharType="separate"/>
          </w:r>
          <w:r>
            <w:rPr>
              <w:rFonts w:hint="default"/>
              <w:lang w:val="en-US" w:eastAsia="zh-CN"/>
            </w:rPr>
            <w:t xml:space="preserve">3.3. </w:t>
          </w:r>
          <w:r>
            <w:rPr>
              <w:rFonts w:hint="eastAsia"/>
              <w:lang w:val="en-US" w:eastAsia="zh-CN"/>
            </w:rPr>
            <w:t>技术研发规划</w:t>
          </w:r>
          <w:r>
            <w:tab/>
          </w:r>
          <w:r>
            <w:fldChar w:fldCharType="begin"/>
          </w:r>
          <w:r>
            <w:instrText xml:space="preserve"> PAGEREF _Toc32763 \h </w:instrText>
          </w:r>
          <w:r>
            <w:fldChar w:fldCharType="separate"/>
          </w:r>
          <w:r>
            <w:t>19</w:t>
          </w:r>
          <w:r>
            <w:fldChar w:fldCharType="end"/>
          </w:r>
          <w:r>
            <w:fldChar w:fldCharType="end"/>
          </w:r>
        </w:p>
        <w:p w14:paraId="435095BC">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_Toc24716 </w:instrText>
          </w:r>
          <w:r>
            <w:fldChar w:fldCharType="separate"/>
          </w:r>
          <w:r>
            <w:rPr>
              <w:rFonts w:hint="default"/>
              <w:lang w:val="en-US" w:eastAsia="zh-CN"/>
            </w:rPr>
            <w:t>3.3.1. 研发现状</w:t>
          </w:r>
          <w:r>
            <w:tab/>
          </w:r>
          <w:r>
            <w:fldChar w:fldCharType="begin"/>
          </w:r>
          <w:r>
            <w:instrText xml:space="preserve"> PAGEREF _Toc24716 \h </w:instrText>
          </w:r>
          <w:r>
            <w:fldChar w:fldCharType="separate"/>
          </w:r>
          <w:r>
            <w:t>19</w:t>
          </w:r>
          <w:r>
            <w:fldChar w:fldCharType="end"/>
          </w:r>
          <w:r>
            <w:fldChar w:fldCharType="end"/>
          </w:r>
        </w:p>
        <w:p w14:paraId="10D9A4BB">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_Toc8655 </w:instrText>
          </w:r>
          <w:r>
            <w:fldChar w:fldCharType="separate"/>
          </w:r>
          <w:r>
            <w:rPr>
              <w:rFonts w:hint="default"/>
              <w:lang w:val="en-US" w:eastAsia="zh-CN"/>
            </w:rPr>
            <w:t>3.3.2. 研发目标</w:t>
          </w:r>
          <w:r>
            <w:tab/>
          </w:r>
          <w:r>
            <w:fldChar w:fldCharType="begin"/>
          </w:r>
          <w:r>
            <w:instrText xml:space="preserve"> PAGEREF _Toc8655 \h </w:instrText>
          </w:r>
          <w:r>
            <w:fldChar w:fldCharType="separate"/>
          </w:r>
          <w:r>
            <w:t>19</w:t>
          </w:r>
          <w:r>
            <w:fldChar w:fldCharType="end"/>
          </w:r>
          <w:r>
            <w:fldChar w:fldCharType="end"/>
          </w:r>
        </w:p>
        <w:p w14:paraId="05BA0078">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_Toc2006 </w:instrText>
          </w:r>
          <w:r>
            <w:fldChar w:fldCharType="separate"/>
          </w:r>
          <w:r>
            <w:rPr>
              <w:rFonts w:hint="default"/>
              <w:lang w:val="en-US" w:eastAsia="zh-CN"/>
            </w:rPr>
            <w:t xml:space="preserve">3.3.3. </w:t>
          </w:r>
          <w:r>
            <w:rPr>
              <w:rFonts w:hint="eastAsia"/>
              <w:lang w:val="en-US" w:eastAsia="zh-CN"/>
            </w:rPr>
            <w:t>研发计划</w:t>
          </w:r>
          <w:r>
            <w:tab/>
          </w:r>
          <w:r>
            <w:fldChar w:fldCharType="begin"/>
          </w:r>
          <w:r>
            <w:instrText xml:space="preserve"> PAGEREF _Toc2006 \h </w:instrText>
          </w:r>
          <w:r>
            <w:fldChar w:fldCharType="separate"/>
          </w:r>
          <w:r>
            <w:t>20</w:t>
          </w:r>
          <w:r>
            <w:fldChar w:fldCharType="end"/>
          </w:r>
          <w:r>
            <w:fldChar w:fldCharType="end"/>
          </w:r>
        </w:p>
        <w:p w14:paraId="4E683483">
          <w:pPr>
            <w:pStyle w:val="19"/>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_Toc8253 </w:instrText>
          </w:r>
          <w:r>
            <w:fldChar w:fldCharType="separate"/>
          </w:r>
          <w:r>
            <w:rPr>
              <w:rFonts w:hint="default"/>
              <w:lang w:val="en-US" w:eastAsia="zh-CN"/>
            </w:rPr>
            <w:t xml:space="preserve">3.4. </w:t>
          </w:r>
          <w:r>
            <w:rPr>
              <w:rFonts w:hint="eastAsia"/>
              <w:lang w:val="en-US" w:eastAsia="zh-CN"/>
            </w:rPr>
            <w:t>过程管理规划</w:t>
          </w:r>
          <w:r>
            <w:tab/>
          </w:r>
          <w:r>
            <w:fldChar w:fldCharType="begin"/>
          </w:r>
          <w:r>
            <w:instrText xml:space="preserve"> PAGEREF _Toc8253 \h </w:instrText>
          </w:r>
          <w:r>
            <w:fldChar w:fldCharType="separate"/>
          </w:r>
          <w:r>
            <w:t>20</w:t>
          </w:r>
          <w:r>
            <w:fldChar w:fldCharType="end"/>
          </w:r>
          <w:r>
            <w:fldChar w:fldCharType="end"/>
          </w:r>
        </w:p>
        <w:p w14:paraId="0F492197">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_Toc24514 </w:instrText>
          </w:r>
          <w:r>
            <w:fldChar w:fldCharType="separate"/>
          </w:r>
          <w:r>
            <w:rPr>
              <w:rFonts w:hint="default"/>
              <w:lang w:val="en-US" w:eastAsia="zh-CN"/>
            </w:rPr>
            <w:t xml:space="preserve">3.4.1. </w:t>
          </w:r>
          <w:r>
            <w:rPr>
              <w:rFonts w:hint="eastAsia"/>
              <w:lang w:val="en-US" w:eastAsia="zh-CN"/>
            </w:rPr>
            <w:t>过程框架管理</w:t>
          </w:r>
          <w:r>
            <w:tab/>
          </w:r>
          <w:r>
            <w:fldChar w:fldCharType="begin"/>
          </w:r>
          <w:r>
            <w:instrText xml:space="preserve"> PAGEREF _Toc24514 \h </w:instrText>
          </w:r>
          <w:r>
            <w:fldChar w:fldCharType="separate"/>
          </w:r>
          <w:r>
            <w:t>20</w:t>
          </w:r>
          <w:r>
            <w:fldChar w:fldCharType="end"/>
          </w:r>
          <w:r>
            <w:fldChar w:fldCharType="end"/>
          </w:r>
        </w:p>
        <w:p w14:paraId="0C6D4E8F">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_Toc3698 </w:instrText>
          </w:r>
          <w:r>
            <w:fldChar w:fldCharType="separate"/>
          </w:r>
          <w:r>
            <w:rPr>
              <w:rFonts w:hint="default"/>
              <w:lang w:val="en-US" w:eastAsia="zh-CN"/>
            </w:rPr>
            <w:t xml:space="preserve">3.4.2. </w:t>
          </w:r>
          <w:r>
            <w:rPr>
              <w:rFonts w:hint="eastAsia"/>
              <w:lang w:val="en-US" w:eastAsia="zh-CN"/>
            </w:rPr>
            <w:t>服务级别管理</w:t>
          </w:r>
          <w:r>
            <w:tab/>
          </w:r>
          <w:r>
            <w:fldChar w:fldCharType="begin"/>
          </w:r>
          <w:r>
            <w:instrText xml:space="preserve"> PAGEREF _Toc3698 \h </w:instrText>
          </w:r>
          <w:r>
            <w:fldChar w:fldCharType="separate"/>
          </w:r>
          <w:r>
            <w:t>20</w:t>
          </w:r>
          <w:r>
            <w:fldChar w:fldCharType="end"/>
          </w:r>
          <w:r>
            <w:fldChar w:fldCharType="end"/>
          </w:r>
        </w:p>
        <w:p w14:paraId="620DE0E5">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_Toc25687 </w:instrText>
          </w:r>
          <w:r>
            <w:fldChar w:fldCharType="separate"/>
          </w:r>
          <w:r>
            <w:rPr>
              <w:rFonts w:hint="default"/>
              <w:lang w:val="en-US" w:eastAsia="zh-CN"/>
            </w:rPr>
            <w:t xml:space="preserve">3.4.3. </w:t>
          </w:r>
          <w:r>
            <w:rPr>
              <w:rFonts w:hint="eastAsia"/>
              <w:lang w:val="en-US" w:eastAsia="zh-CN"/>
            </w:rPr>
            <w:t>服务报告管理</w:t>
          </w:r>
          <w:r>
            <w:tab/>
          </w:r>
          <w:r>
            <w:fldChar w:fldCharType="begin"/>
          </w:r>
          <w:r>
            <w:instrText xml:space="preserve"> PAGEREF _Toc25687 \h </w:instrText>
          </w:r>
          <w:r>
            <w:fldChar w:fldCharType="separate"/>
          </w:r>
          <w:r>
            <w:t>21</w:t>
          </w:r>
          <w:r>
            <w:fldChar w:fldCharType="end"/>
          </w:r>
          <w:r>
            <w:fldChar w:fldCharType="end"/>
          </w:r>
        </w:p>
        <w:p w14:paraId="25DAB930">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_Toc32699 </w:instrText>
          </w:r>
          <w:r>
            <w:fldChar w:fldCharType="separate"/>
          </w:r>
          <w:r>
            <w:rPr>
              <w:rFonts w:hint="default"/>
              <w:lang w:val="en-US" w:eastAsia="zh-CN"/>
            </w:rPr>
            <w:t xml:space="preserve">3.4.4. </w:t>
          </w:r>
          <w:r>
            <w:rPr>
              <w:rFonts w:hint="eastAsia"/>
              <w:lang w:val="en-US" w:eastAsia="zh-CN"/>
            </w:rPr>
            <w:t>事件管理</w:t>
          </w:r>
          <w:r>
            <w:tab/>
          </w:r>
          <w:r>
            <w:fldChar w:fldCharType="begin"/>
          </w:r>
          <w:r>
            <w:instrText xml:space="preserve"> PAGEREF _Toc32699 \h </w:instrText>
          </w:r>
          <w:r>
            <w:fldChar w:fldCharType="separate"/>
          </w:r>
          <w:r>
            <w:t>22</w:t>
          </w:r>
          <w:r>
            <w:fldChar w:fldCharType="end"/>
          </w:r>
          <w:r>
            <w:fldChar w:fldCharType="end"/>
          </w:r>
        </w:p>
        <w:p w14:paraId="7719FFB9">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_Toc19842 </w:instrText>
          </w:r>
          <w:r>
            <w:fldChar w:fldCharType="separate"/>
          </w:r>
          <w:r>
            <w:rPr>
              <w:rFonts w:hint="default"/>
              <w:lang w:val="en-US" w:eastAsia="zh-CN"/>
            </w:rPr>
            <w:t xml:space="preserve">3.4.5. </w:t>
          </w:r>
          <w:r>
            <w:rPr>
              <w:rFonts w:hint="eastAsia"/>
              <w:lang w:val="en-US" w:eastAsia="zh-CN"/>
            </w:rPr>
            <w:t>问题管理</w:t>
          </w:r>
          <w:r>
            <w:tab/>
          </w:r>
          <w:r>
            <w:fldChar w:fldCharType="begin"/>
          </w:r>
          <w:r>
            <w:instrText xml:space="preserve"> PAGEREF _Toc19842 \h </w:instrText>
          </w:r>
          <w:r>
            <w:fldChar w:fldCharType="separate"/>
          </w:r>
          <w:r>
            <w:t>22</w:t>
          </w:r>
          <w:r>
            <w:fldChar w:fldCharType="end"/>
          </w:r>
          <w:r>
            <w:fldChar w:fldCharType="end"/>
          </w:r>
        </w:p>
        <w:p w14:paraId="6637774F">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_Toc24258 </w:instrText>
          </w:r>
          <w:r>
            <w:fldChar w:fldCharType="separate"/>
          </w:r>
          <w:r>
            <w:rPr>
              <w:rFonts w:hint="default"/>
              <w:lang w:val="en-US" w:eastAsia="zh-CN"/>
            </w:rPr>
            <w:t xml:space="preserve">3.4.6. </w:t>
          </w:r>
          <w:r>
            <w:rPr>
              <w:rFonts w:hint="eastAsia"/>
              <w:lang w:val="en-US" w:eastAsia="zh-CN"/>
            </w:rPr>
            <w:t>变更管理</w:t>
          </w:r>
          <w:r>
            <w:tab/>
          </w:r>
          <w:r>
            <w:fldChar w:fldCharType="begin"/>
          </w:r>
          <w:r>
            <w:instrText xml:space="preserve"> PAGEREF _Toc24258 \h </w:instrText>
          </w:r>
          <w:r>
            <w:fldChar w:fldCharType="separate"/>
          </w:r>
          <w:r>
            <w:t>23</w:t>
          </w:r>
          <w:r>
            <w:fldChar w:fldCharType="end"/>
          </w:r>
          <w:r>
            <w:fldChar w:fldCharType="end"/>
          </w:r>
        </w:p>
        <w:p w14:paraId="54062AEF">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_Toc27638 </w:instrText>
          </w:r>
          <w:r>
            <w:fldChar w:fldCharType="separate"/>
          </w:r>
          <w:r>
            <w:rPr>
              <w:rFonts w:hint="default"/>
              <w:lang w:val="en-US" w:eastAsia="zh-CN"/>
            </w:rPr>
            <w:t xml:space="preserve">3.4.7. </w:t>
          </w:r>
          <w:r>
            <w:rPr>
              <w:rFonts w:hint="eastAsia"/>
              <w:lang w:val="en-US" w:eastAsia="zh-CN"/>
            </w:rPr>
            <w:t>发布管理</w:t>
          </w:r>
          <w:r>
            <w:tab/>
          </w:r>
          <w:r>
            <w:fldChar w:fldCharType="begin"/>
          </w:r>
          <w:r>
            <w:instrText xml:space="preserve"> PAGEREF _Toc27638 \h </w:instrText>
          </w:r>
          <w:r>
            <w:fldChar w:fldCharType="separate"/>
          </w:r>
          <w:r>
            <w:t>23</w:t>
          </w:r>
          <w:r>
            <w:fldChar w:fldCharType="end"/>
          </w:r>
          <w:r>
            <w:fldChar w:fldCharType="end"/>
          </w:r>
        </w:p>
        <w:p w14:paraId="67ACE14A">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_Toc12147 </w:instrText>
          </w:r>
          <w:r>
            <w:fldChar w:fldCharType="separate"/>
          </w:r>
          <w:r>
            <w:rPr>
              <w:rFonts w:hint="default"/>
              <w:lang w:val="en-US" w:eastAsia="zh-CN"/>
            </w:rPr>
            <w:t xml:space="preserve">3.4.8. </w:t>
          </w:r>
          <w:r>
            <w:rPr>
              <w:rFonts w:hint="eastAsia"/>
              <w:lang w:val="en-US" w:eastAsia="zh-CN"/>
            </w:rPr>
            <w:t>配置管理</w:t>
          </w:r>
          <w:r>
            <w:tab/>
          </w:r>
          <w:r>
            <w:fldChar w:fldCharType="begin"/>
          </w:r>
          <w:r>
            <w:instrText xml:space="preserve"> PAGEREF _Toc12147 \h </w:instrText>
          </w:r>
          <w:r>
            <w:fldChar w:fldCharType="separate"/>
          </w:r>
          <w:r>
            <w:t>24</w:t>
          </w:r>
          <w:r>
            <w:fldChar w:fldCharType="end"/>
          </w:r>
          <w:r>
            <w:fldChar w:fldCharType="end"/>
          </w:r>
        </w:p>
        <w:p w14:paraId="13B336AA">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_Toc23011 </w:instrText>
          </w:r>
          <w:r>
            <w:fldChar w:fldCharType="separate"/>
          </w:r>
          <w:r>
            <w:rPr>
              <w:rFonts w:hint="default"/>
              <w:lang w:val="en-US" w:eastAsia="zh-CN"/>
            </w:rPr>
            <w:t xml:space="preserve">3.4.9. </w:t>
          </w:r>
          <w:r>
            <w:rPr>
              <w:rFonts w:hint="eastAsia"/>
              <w:lang w:val="en-US" w:eastAsia="zh-CN"/>
            </w:rPr>
            <w:t>可用性和连续性管理</w:t>
          </w:r>
          <w:r>
            <w:tab/>
          </w:r>
          <w:r>
            <w:fldChar w:fldCharType="begin"/>
          </w:r>
          <w:r>
            <w:instrText xml:space="preserve"> PAGEREF _Toc23011 \h </w:instrText>
          </w:r>
          <w:r>
            <w:fldChar w:fldCharType="separate"/>
          </w:r>
          <w:r>
            <w:t>24</w:t>
          </w:r>
          <w:r>
            <w:fldChar w:fldCharType="end"/>
          </w:r>
          <w:r>
            <w:fldChar w:fldCharType="end"/>
          </w:r>
        </w:p>
        <w:p w14:paraId="0E6E9EDF">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_Toc6473 </w:instrText>
          </w:r>
          <w:r>
            <w:fldChar w:fldCharType="separate"/>
          </w:r>
          <w:r>
            <w:rPr>
              <w:rFonts w:hint="default"/>
              <w:lang w:val="en-US" w:eastAsia="zh-CN"/>
            </w:rPr>
            <w:t xml:space="preserve">3.4.10. </w:t>
          </w:r>
          <w:r>
            <w:rPr>
              <w:rFonts w:hint="eastAsia"/>
              <w:lang w:val="en-US" w:eastAsia="zh-CN"/>
            </w:rPr>
            <w:t>容量管理</w:t>
          </w:r>
          <w:r>
            <w:tab/>
          </w:r>
          <w:r>
            <w:fldChar w:fldCharType="begin"/>
          </w:r>
          <w:r>
            <w:instrText xml:space="preserve"> PAGEREF _Toc6473 \h </w:instrText>
          </w:r>
          <w:r>
            <w:fldChar w:fldCharType="separate"/>
          </w:r>
          <w:r>
            <w:t>25</w:t>
          </w:r>
          <w:r>
            <w:fldChar w:fldCharType="end"/>
          </w:r>
          <w:r>
            <w:fldChar w:fldCharType="end"/>
          </w:r>
        </w:p>
        <w:p w14:paraId="0FFDA3D2">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_Toc1700 </w:instrText>
          </w:r>
          <w:r>
            <w:fldChar w:fldCharType="separate"/>
          </w:r>
          <w:r>
            <w:rPr>
              <w:rFonts w:hint="default"/>
              <w:lang w:val="en-US" w:eastAsia="zh-CN"/>
            </w:rPr>
            <w:t xml:space="preserve">3.4.11. </w:t>
          </w:r>
          <w:r>
            <w:rPr>
              <w:rFonts w:hint="eastAsia"/>
              <w:lang w:val="en-US" w:eastAsia="zh-CN"/>
            </w:rPr>
            <w:t>信息安全管理</w:t>
          </w:r>
          <w:r>
            <w:tab/>
          </w:r>
          <w:r>
            <w:fldChar w:fldCharType="begin"/>
          </w:r>
          <w:r>
            <w:instrText xml:space="preserve"> PAGEREF _Toc1700 \h </w:instrText>
          </w:r>
          <w:r>
            <w:fldChar w:fldCharType="separate"/>
          </w:r>
          <w:r>
            <w:t>26</w:t>
          </w:r>
          <w:r>
            <w:fldChar w:fldCharType="end"/>
          </w:r>
          <w:r>
            <w:fldChar w:fldCharType="end"/>
          </w:r>
        </w:p>
        <w:p w14:paraId="2A100D8B">
          <w:pPr>
            <w:pStyle w:val="19"/>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_Toc17627 </w:instrText>
          </w:r>
          <w:r>
            <w:fldChar w:fldCharType="separate"/>
          </w:r>
          <w:r>
            <w:rPr>
              <w:rFonts w:hint="default"/>
              <w:lang w:val="en-US" w:eastAsia="zh-CN"/>
            </w:rPr>
            <w:t xml:space="preserve">3.5. </w:t>
          </w:r>
          <w:r>
            <w:rPr>
              <w:rFonts w:hint="eastAsia"/>
              <w:lang w:val="en-US" w:eastAsia="zh-CN"/>
            </w:rPr>
            <w:t>交付管理规划</w:t>
          </w:r>
          <w:r>
            <w:tab/>
          </w:r>
          <w:r>
            <w:fldChar w:fldCharType="begin"/>
          </w:r>
          <w:r>
            <w:instrText xml:space="preserve"> PAGEREF _Toc17627 \h </w:instrText>
          </w:r>
          <w:r>
            <w:fldChar w:fldCharType="separate"/>
          </w:r>
          <w:r>
            <w:t>26</w:t>
          </w:r>
          <w:r>
            <w:fldChar w:fldCharType="end"/>
          </w:r>
          <w:r>
            <w:fldChar w:fldCharType="end"/>
          </w:r>
        </w:p>
        <w:p w14:paraId="330A5CEB">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_Toc7312 </w:instrText>
          </w:r>
          <w:r>
            <w:fldChar w:fldCharType="separate"/>
          </w:r>
          <w:r>
            <w:rPr>
              <w:rFonts w:hint="default"/>
              <w:lang w:val="en-US" w:eastAsia="zh-CN"/>
            </w:rPr>
            <w:t xml:space="preserve">3.5.1. </w:t>
          </w:r>
          <w:r>
            <w:rPr>
              <w:rFonts w:hint="eastAsia"/>
              <w:lang w:val="en-US" w:eastAsia="zh-CN"/>
            </w:rPr>
            <w:t>交付策划</w:t>
          </w:r>
          <w:r>
            <w:tab/>
          </w:r>
          <w:r>
            <w:fldChar w:fldCharType="begin"/>
          </w:r>
          <w:r>
            <w:instrText xml:space="preserve"> PAGEREF _Toc7312 \h </w:instrText>
          </w:r>
          <w:r>
            <w:fldChar w:fldCharType="separate"/>
          </w:r>
          <w:r>
            <w:t>26</w:t>
          </w:r>
          <w:r>
            <w:fldChar w:fldCharType="end"/>
          </w:r>
          <w:r>
            <w:fldChar w:fldCharType="end"/>
          </w:r>
        </w:p>
        <w:p w14:paraId="490BAC2E">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_Toc11988 </w:instrText>
          </w:r>
          <w:r>
            <w:fldChar w:fldCharType="separate"/>
          </w:r>
          <w:r>
            <w:rPr>
              <w:rFonts w:hint="default"/>
              <w:lang w:val="en-US" w:eastAsia="zh-CN"/>
            </w:rPr>
            <w:t xml:space="preserve">3.5.2. </w:t>
          </w:r>
          <w:r>
            <w:rPr>
              <w:rFonts w:hint="eastAsia"/>
              <w:lang w:val="en-US" w:eastAsia="zh-CN"/>
            </w:rPr>
            <w:t>交付实施</w:t>
          </w:r>
          <w:r>
            <w:tab/>
          </w:r>
          <w:r>
            <w:fldChar w:fldCharType="begin"/>
          </w:r>
          <w:r>
            <w:instrText xml:space="preserve"> PAGEREF _Toc11988 \h </w:instrText>
          </w:r>
          <w:r>
            <w:fldChar w:fldCharType="separate"/>
          </w:r>
          <w:r>
            <w:t>27</w:t>
          </w:r>
          <w:r>
            <w:fldChar w:fldCharType="end"/>
          </w:r>
          <w:r>
            <w:fldChar w:fldCharType="end"/>
          </w:r>
        </w:p>
        <w:p w14:paraId="33DDFCFF">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_Toc31372 </w:instrText>
          </w:r>
          <w:r>
            <w:fldChar w:fldCharType="separate"/>
          </w:r>
          <w:r>
            <w:rPr>
              <w:rFonts w:hint="default"/>
              <w:lang w:val="en-US" w:eastAsia="zh-CN"/>
            </w:rPr>
            <w:t xml:space="preserve">3.5.3. </w:t>
          </w:r>
          <w:r>
            <w:rPr>
              <w:rFonts w:hint="eastAsia"/>
              <w:lang w:val="en-US" w:eastAsia="zh-CN"/>
            </w:rPr>
            <w:t>交付检查</w:t>
          </w:r>
          <w:r>
            <w:tab/>
          </w:r>
          <w:r>
            <w:fldChar w:fldCharType="begin"/>
          </w:r>
          <w:r>
            <w:instrText xml:space="preserve"> PAGEREF _Toc31372 \h </w:instrText>
          </w:r>
          <w:r>
            <w:fldChar w:fldCharType="separate"/>
          </w:r>
          <w:r>
            <w:t>27</w:t>
          </w:r>
          <w:r>
            <w:fldChar w:fldCharType="end"/>
          </w:r>
          <w:r>
            <w:fldChar w:fldCharType="end"/>
          </w:r>
        </w:p>
        <w:p w14:paraId="011DD47C">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_Toc25543 </w:instrText>
          </w:r>
          <w:r>
            <w:fldChar w:fldCharType="separate"/>
          </w:r>
          <w:r>
            <w:rPr>
              <w:rFonts w:hint="default"/>
              <w:lang w:val="en-US" w:eastAsia="zh-CN"/>
            </w:rPr>
            <w:t xml:space="preserve">3.5.4. </w:t>
          </w:r>
          <w:r>
            <w:rPr>
              <w:rFonts w:hint="eastAsia"/>
              <w:lang w:val="en-US" w:eastAsia="zh-CN"/>
            </w:rPr>
            <w:t>交付改进</w:t>
          </w:r>
          <w:r>
            <w:tab/>
          </w:r>
          <w:r>
            <w:fldChar w:fldCharType="begin"/>
          </w:r>
          <w:r>
            <w:instrText xml:space="preserve"> PAGEREF _Toc25543 \h </w:instrText>
          </w:r>
          <w:r>
            <w:fldChar w:fldCharType="separate"/>
          </w:r>
          <w:r>
            <w:t>27</w:t>
          </w:r>
          <w:r>
            <w:fldChar w:fldCharType="end"/>
          </w:r>
          <w:r>
            <w:fldChar w:fldCharType="end"/>
          </w:r>
        </w:p>
        <w:p w14:paraId="32DFC106">
          <w:pPr>
            <w:pStyle w:val="19"/>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_Toc1822 </w:instrText>
          </w:r>
          <w:r>
            <w:fldChar w:fldCharType="separate"/>
          </w:r>
          <w:r>
            <w:rPr>
              <w:rFonts w:hint="default"/>
              <w:lang w:val="en-US" w:eastAsia="zh-CN"/>
            </w:rPr>
            <w:t xml:space="preserve">3.6. </w:t>
          </w:r>
          <w:r>
            <w:rPr>
              <w:rFonts w:hint="eastAsia"/>
              <w:lang w:val="en-US" w:eastAsia="zh-CN"/>
            </w:rPr>
            <w:t>应急管理规划</w:t>
          </w:r>
          <w:r>
            <w:tab/>
          </w:r>
          <w:r>
            <w:fldChar w:fldCharType="begin"/>
          </w:r>
          <w:r>
            <w:instrText xml:space="preserve"> PAGEREF _Toc1822 \h </w:instrText>
          </w:r>
          <w:r>
            <w:fldChar w:fldCharType="separate"/>
          </w:r>
          <w:r>
            <w:t>27</w:t>
          </w:r>
          <w:r>
            <w:fldChar w:fldCharType="end"/>
          </w:r>
          <w:r>
            <w:fldChar w:fldCharType="end"/>
          </w:r>
        </w:p>
        <w:p w14:paraId="1D70462C">
          <w:pPr>
            <w:pStyle w:val="19"/>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_Toc29559 </w:instrText>
          </w:r>
          <w:r>
            <w:fldChar w:fldCharType="separate"/>
          </w:r>
          <w:r>
            <w:rPr>
              <w:rFonts w:hint="default"/>
              <w:lang w:val="en-US" w:eastAsia="zh-CN"/>
            </w:rPr>
            <w:t xml:space="preserve">3.7. </w:t>
          </w:r>
          <w:r>
            <w:rPr>
              <w:rFonts w:hint="eastAsia"/>
              <w:lang w:val="en-US" w:eastAsia="zh-CN"/>
            </w:rPr>
            <w:t>质量管理规划</w:t>
          </w:r>
          <w:r>
            <w:tab/>
          </w:r>
          <w:r>
            <w:fldChar w:fldCharType="begin"/>
          </w:r>
          <w:r>
            <w:instrText xml:space="preserve"> PAGEREF _Toc29559 \h </w:instrText>
          </w:r>
          <w:r>
            <w:fldChar w:fldCharType="separate"/>
          </w:r>
          <w:r>
            <w:t>28</w:t>
          </w:r>
          <w:r>
            <w:fldChar w:fldCharType="end"/>
          </w:r>
          <w:r>
            <w:fldChar w:fldCharType="end"/>
          </w:r>
        </w:p>
        <w:p w14:paraId="00F87158">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_Toc4354 </w:instrText>
          </w:r>
          <w:r>
            <w:fldChar w:fldCharType="separate"/>
          </w:r>
          <w:r>
            <w:rPr>
              <w:rFonts w:hint="default"/>
              <w:lang w:val="en-US" w:eastAsia="zh-CN"/>
            </w:rPr>
            <w:t xml:space="preserve">3.7.1. </w:t>
          </w:r>
          <w:r>
            <w:rPr>
              <w:rFonts w:hint="eastAsia"/>
              <w:lang w:val="en-US" w:eastAsia="zh-CN"/>
            </w:rPr>
            <w:t>质量管理计划</w:t>
          </w:r>
          <w:r>
            <w:tab/>
          </w:r>
          <w:r>
            <w:fldChar w:fldCharType="begin"/>
          </w:r>
          <w:r>
            <w:instrText xml:space="preserve"> PAGEREF _Toc4354 \h </w:instrText>
          </w:r>
          <w:r>
            <w:fldChar w:fldCharType="separate"/>
          </w:r>
          <w:r>
            <w:t>29</w:t>
          </w:r>
          <w:r>
            <w:fldChar w:fldCharType="end"/>
          </w:r>
          <w:r>
            <w:fldChar w:fldCharType="end"/>
          </w:r>
        </w:p>
        <w:p w14:paraId="59A07E74">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_Toc8076 </w:instrText>
          </w:r>
          <w:r>
            <w:fldChar w:fldCharType="separate"/>
          </w:r>
          <w:r>
            <w:rPr>
              <w:rFonts w:hint="default"/>
              <w:lang w:val="en-US" w:eastAsia="zh-CN"/>
            </w:rPr>
            <w:t xml:space="preserve">3.7.2. </w:t>
          </w:r>
          <w:r>
            <w:rPr>
              <w:rFonts w:hint="eastAsia"/>
              <w:lang w:val="en-US" w:eastAsia="zh-CN"/>
            </w:rPr>
            <w:t>质量检查</w:t>
          </w:r>
          <w:r>
            <w:tab/>
          </w:r>
          <w:r>
            <w:fldChar w:fldCharType="begin"/>
          </w:r>
          <w:r>
            <w:instrText xml:space="preserve"> PAGEREF _Toc8076 \h </w:instrText>
          </w:r>
          <w:r>
            <w:fldChar w:fldCharType="separate"/>
          </w:r>
          <w:r>
            <w:t>29</w:t>
          </w:r>
          <w:r>
            <w:fldChar w:fldCharType="end"/>
          </w:r>
          <w:r>
            <w:fldChar w:fldCharType="end"/>
          </w:r>
        </w:p>
        <w:p w14:paraId="478492A3">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_Toc20892 </w:instrText>
          </w:r>
          <w:r>
            <w:fldChar w:fldCharType="separate"/>
          </w:r>
          <w:r>
            <w:rPr>
              <w:rFonts w:hint="default"/>
              <w:lang w:val="en-US" w:eastAsia="zh-CN"/>
            </w:rPr>
            <w:t xml:space="preserve">3.7.3. </w:t>
          </w:r>
          <w:r>
            <w:rPr>
              <w:rFonts w:hint="eastAsia"/>
              <w:lang w:val="en-US" w:eastAsia="zh-CN"/>
            </w:rPr>
            <w:t>内部审核</w:t>
          </w:r>
          <w:r>
            <w:tab/>
          </w:r>
          <w:r>
            <w:fldChar w:fldCharType="begin"/>
          </w:r>
          <w:r>
            <w:instrText xml:space="preserve"> PAGEREF _Toc20892 \h </w:instrText>
          </w:r>
          <w:r>
            <w:fldChar w:fldCharType="separate"/>
          </w:r>
          <w:r>
            <w:t>29</w:t>
          </w:r>
          <w:r>
            <w:fldChar w:fldCharType="end"/>
          </w:r>
          <w:r>
            <w:fldChar w:fldCharType="end"/>
          </w:r>
        </w:p>
        <w:p w14:paraId="4F35251E">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_Toc10449 </w:instrText>
          </w:r>
          <w:r>
            <w:fldChar w:fldCharType="separate"/>
          </w:r>
          <w:r>
            <w:rPr>
              <w:rFonts w:hint="default"/>
              <w:lang w:val="en-US" w:eastAsia="zh-CN"/>
            </w:rPr>
            <w:t xml:space="preserve">3.7.4. </w:t>
          </w:r>
          <w:r>
            <w:rPr>
              <w:rFonts w:hint="eastAsia"/>
              <w:lang w:val="en-US" w:eastAsia="zh-CN"/>
            </w:rPr>
            <w:t>管理评审</w:t>
          </w:r>
          <w:r>
            <w:tab/>
          </w:r>
          <w:r>
            <w:fldChar w:fldCharType="begin"/>
          </w:r>
          <w:r>
            <w:instrText xml:space="preserve"> PAGEREF _Toc10449 \h </w:instrText>
          </w:r>
          <w:r>
            <w:fldChar w:fldCharType="separate"/>
          </w:r>
          <w:r>
            <w:t>29</w:t>
          </w:r>
          <w:r>
            <w:fldChar w:fldCharType="end"/>
          </w:r>
          <w:r>
            <w:fldChar w:fldCharType="end"/>
          </w:r>
        </w:p>
        <w:p w14:paraId="7291FDFF">
          <w:pPr>
            <w:pStyle w:val="14"/>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_Toc1974 </w:instrText>
          </w:r>
          <w:r>
            <w:fldChar w:fldCharType="separate"/>
          </w:r>
          <w:r>
            <w:rPr>
              <w:rFonts w:hint="default"/>
              <w:lang w:val="en-US" w:eastAsia="zh-CN"/>
            </w:rPr>
            <w:t xml:space="preserve">3.7.5. </w:t>
          </w:r>
          <w:r>
            <w:rPr>
              <w:rFonts w:hint="eastAsia"/>
              <w:lang w:val="en-US" w:eastAsia="zh-CN"/>
            </w:rPr>
            <w:t>客户满意度管理</w:t>
          </w:r>
          <w:r>
            <w:tab/>
          </w:r>
          <w:r>
            <w:fldChar w:fldCharType="begin"/>
          </w:r>
          <w:r>
            <w:instrText xml:space="preserve"> PAGEREF _Toc1974 \h </w:instrText>
          </w:r>
          <w:r>
            <w:fldChar w:fldCharType="separate"/>
          </w:r>
          <w:r>
            <w:t>29</w:t>
          </w:r>
          <w:r>
            <w:fldChar w:fldCharType="end"/>
          </w:r>
          <w:r>
            <w:fldChar w:fldCharType="end"/>
          </w:r>
        </w:p>
        <w:p w14:paraId="49782974">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304FE87D">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655599B7">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TOC \h \c "表"</w:instrText>
      </w:r>
      <w:r>
        <w:fldChar w:fldCharType="separate"/>
      </w:r>
      <w:r>
        <w:fldChar w:fldCharType="begin"/>
      </w:r>
      <w:r>
        <w:instrText xml:space="preserve"> HYPERLINK \l _Toc21311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2026年度人员招聘计划表</w:t>
      </w:r>
      <w:r>
        <w:tab/>
      </w:r>
      <w:r>
        <w:fldChar w:fldCharType="begin"/>
      </w:r>
      <w:r>
        <w:instrText xml:space="preserve"> PAGEREF _Toc21311 \h </w:instrText>
      </w:r>
      <w:r>
        <w:fldChar w:fldCharType="separate"/>
      </w:r>
      <w:r>
        <w:t>8</w:t>
      </w:r>
      <w:r>
        <w:fldChar w:fldCharType="end"/>
      </w:r>
      <w:r>
        <w:fldChar w:fldCharType="end"/>
      </w:r>
    </w:p>
    <w:p w14:paraId="286F59CD">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_Toc12641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2 </w:t>
      </w:r>
      <w:r>
        <w:rPr>
          <w:rFonts w:hint="eastAsia"/>
          <w:lang w:val="en-US" w:eastAsia="zh-CN"/>
        </w:rPr>
        <w:t xml:space="preserve"> 2026年度人员内部储备计划表</w:t>
      </w:r>
      <w:r>
        <w:tab/>
      </w:r>
      <w:r>
        <w:fldChar w:fldCharType="begin"/>
      </w:r>
      <w:r>
        <w:instrText xml:space="preserve"> PAGEREF _Toc12641 \h </w:instrText>
      </w:r>
      <w:r>
        <w:fldChar w:fldCharType="separate"/>
      </w:r>
      <w:r>
        <w:t>9</w:t>
      </w:r>
      <w:r>
        <w:fldChar w:fldCharType="end"/>
      </w:r>
      <w:r>
        <w:fldChar w:fldCharType="end"/>
      </w:r>
    </w:p>
    <w:p w14:paraId="27C45391">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_Toc28631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3 </w:t>
      </w:r>
      <w:r>
        <w:rPr>
          <w:rFonts w:hint="eastAsia"/>
          <w:lang w:val="en-US" w:eastAsia="zh-CN"/>
        </w:rPr>
        <w:t xml:space="preserve"> 2026年度人员培训计划表</w:t>
      </w:r>
      <w:r>
        <w:tab/>
      </w:r>
      <w:r>
        <w:fldChar w:fldCharType="begin"/>
      </w:r>
      <w:r>
        <w:instrText xml:space="preserve"> PAGEREF _Toc28631 \h </w:instrText>
      </w:r>
      <w:r>
        <w:fldChar w:fldCharType="separate"/>
      </w:r>
      <w:r>
        <w:t>10</w:t>
      </w:r>
      <w:r>
        <w:fldChar w:fldCharType="end"/>
      </w:r>
      <w:r>
        <w:fldChar w:fldCharType="end"/>
      </w:r>
    </w:p>
    <w:p w14:paraId="3F99D866">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_Toc18978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4 </w:t>
      </w:r>
      <w:r>
        <w:rPr>
          <w:rFonts w:hint="eastAsia"/>
          <w:lang w:val="en-US" w:eastAsia="zh-CN"/>
        </w:rPr>
        <w:t xml:space="preserve"> 2026年度人员培训预算汇总表</w:t>
      </w:r>
      <w:r>
        <w:tab/>
      </w:r>
      <w:r>
        <w:fldChar w:fldCharType="begin"/>
      </w:r>
      <w:r>
        <w:instrText xml:space="preserve"> PAGEREF _Toc18978 \h </w:instrText>
      </w:r>
      <w:r>
        <w:fldChar w:fldCharType="separate"/>
      </w:r>
      <w:r>
        <w:t>12</w:t>
      </w:r>
      <w:r>
        <w:fldChar w:fldCharType="end"/>
      </w:r>
      <w:r>
        <w:fldChar w:fldCharType="end"/>
      </w:r>
    </w:p>
    <w:p w14:paraId="135EF790">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_Toc4747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5 </w:t>
      </w:r>
      <w:r>
        <w:rPr>
          <w:rFonts w:hint="eastAsia"/>
          <w:lang w:val="en-US" w:eastAsia="zh-CN"/>
        </w:rPr>
        <w:t xml:space="preserve"> 2026年度人员关键岗位备份计划表</w:t>
      </w:r>
      <w:r>
        <w:tab/>
      </w:r>
      <w:r>
        <w:fldChar w:fldCharType="begin"/>
      </w:r>
      <w:r>
        <w:instrText xml:space="preserve"> PAGEREF _Toc4747 \h </w:instrText>
      </w:r>
      <w:r>
        <w:fldChar w:fldCharType="separate"/>
      </w:r>
      <w:r>
        <w:t>12</w:t>
      </w:r>
      <w:r>
        <w:fldChar w:fldCharType="end"/>
      </w:r>
      <w:r>
        <w:fldChar w:fldCharType="end"/>
      </w:r>
    </w:p>
    <w:p w14:paraId="72D89862">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_Toc24180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6 </w:t>
      </w:r>
      <w:r>
        <w:rPr>
          <w:rFonts w:hint="eastAsia"/>
          <w:lang w:val="en-US" w:eastAsia="zh-CN"/>
        </w:rPr>
        <w:t xml:space="preserve"> 2026年度人员绩效考核计划表</w:t>
      </w:r>
      <w:r>
        <w:tab/>
      </w:r>
      <w:r>
        <w:fldChar w:fldCharType="begin"/>
      </w:r>
      <w:r>
        <w:instrText xml:space="preserve"> PAGEREF _Toc24180 \h </w:instrText>
      </w:r>
      <w:r>
        <w:fldChar w:fldCharType="separate"/>
      </w:r>
      <w:r>
        <w:t>13</w:t>
      </w:r>
      <w:r>
        <w:fldChar w:fldCharType="end"/>
      </w:r>
      <w:r>
        <w:fldChar w:fldCharType="end"/>
      </w:r>
    </w:p>
    <w:p w14:paraId="45B59DAD">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_Toc18028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7 </w:t>
      </w:r>
      <w:r>
        <w:rPr>
          <w:rFonts w:hint="eastAsia"/>
          <w:lang w:val="en-US" w:eastAsia="zh-CN"/>
        </w:rPr>
        <w:t xml:space="preserve"> 2026年度人员技能评定周期表</w:t>
      </w:r>
      <w:r>
        <w:tab/>
      </w:r>
      <w:r>
        <w:fldChar w:fldCharType="begin"/>
      </w:r>
      <w:r>
        <w:instrText xml:space="preserve"> PAGEREF _Toc18028 \h </w:instrText>
      </w:r>
      <w:r>
        <w:fldChar w:fldCharType="separate"/>
      </w:r>
      <w:r>
        <w:t>13</w:t>
      </w:r>
      <w:r>
        <w:fldChar w:fldCharType="end"/>
      </w:r>
      <w:r>
        <w:fldChar w:fldCharType="end"/>
      </w:r>
    </w:p>
    <w:p w14:paraId="051AD677">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_Toc24466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8 </w:t>
      </w:r>
      <w:r>
        <w:rPr>
          <w:rFonts w:hint="eastAsia"/>
          <w:lang w:val="en-US" w:eastAsia="zh-CN"/>
        </w:rPr>
        <w:t xml:space="preserve"> 2026年度人员技能等级划分表</w:t>
      </w:r>
      <w:r>
        <w:tab/>
      </w:r>
      <w:r>
        <w:fldChar w:fldCharType="begin"/>
      </w:r>
      <w:r>
        <w:instrText xml:space="preserve"> PAGEREF _Toc24466 \h </w:instrText>
      </w:r>
      <w:r>
        <w:fldChar w:fldCharType="separate"/>
      </w:r>
      <w:r>
        <w:t>14</w:t>
      </w:r>
      <w:r>
        <w:fldChar w:fldCharType="end"/>
      </w:r>
      <w:r>
        <w:fldChar w:fldCharType="end"/>
      </w:r>
    </w:p>
    <w:p w14:paraId="7205D662">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_Toc326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9 </w:t>
      </w:r>
      <w:r>
        <w:rPr>
          <w:rFonts w:hint="eastAsia"/>
          <w:lang w:val="en-US" w:eastAsia="zh-CN"/>
        </w:rPr>
        <w:t xml:space="preserve"> 2026年度人员技能评定内容表</w:t>
      </w:r>
      <w:r>
        <w:tab/>
      </w:r>
      <w:r>
        <w:fldChar w:fldCharType="begin"/>
      </w:r>
      <w:r>
        <w:instrText xml:space="preserve"> PAGEREF _Toc326 \h </w:instrText>
      </w:r>
      <w:r>
        <w:fldChar w:fldCharType="separate"/>
      </w:r>
      <w:r>
        <w:t>14</w:t>
      </w:r>
      <w:r>
        <w:fldChar w:fldCharType="end"/>
      </w:r>
      <w:r>
        <w:fldChar w:fldCharType="end"/>
      </w:r>
    </w:p>
    <w:p w14:paraId="58783836">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_Toc16703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10 </w:t>
      </w:r>
      <w:r>
        <w:rPr>
          <w:rFonts w:hint="eastAsia"/>
          <w:lang w:val="en-US" w:eastAsia="zh-CN"/>
        </w:rPr>
        <w:t xml:space="preserve"> 2026年度人员技能评定结果应用表</w:t>
      </w:r>
      <w:r>
        <w:tab/>
      </w:r>
      <w:r>
        <w:fldChar w:fldCharType="begin"/>
      </w:r>
      <w:r>
        <w:instrText xml:space="preserve"> PAGEREF _Toc16703 \h </w:instrText>
      </w:r>
      <w:r>
        <w:fldChar w:fldCharType="separate"/>
      </w:r>
      <w:r>
        <w:t>14</w:t>
      </w:r>
      <w:r>
        <w:fldChar w:fldCharType="end"/>
      </w:r>
      <w:r>
        <w:fldChar w:fldCharType="end"/>
      </w:r>
    </w:p>
    <w:p w14:paraId="666EA788">
      <w:pPr>
        <w:keepNext w:val="0"/>
        <w:keepLines w:val="0"/>
        <w:pageBreakBefore w:val="0"/>
        <w:widowControl w:val="0"/>
        <w:kinsoku w:val="0"/>
        <w:wordWrap/>
        <w:overflowPunct/>
        <w:topLinePunct w:val="0"/>
        <w:autoSpaceDE w:val="0"/>
        <w:autoSpaceDN w:val="0"/>
        <w:bidi w:val="0"/>
        <w:adjustRightInd w:val="0"/>
        <w:snapToGrid w:val="0"/>
        <w:jc w:val="center"/>
        <w:textAlignment w:val="baseline"/>
      </w:pPr>
      <w:r>
        <w:fldChar w:fldCharType="end"/>
      </w:r>
    </w:p>
    <w:p w14:paraId="7E6CDFCA">
      <w:pPr>
        <w:keepNext w:val="0"/>
        <w:keepLines w:val="0"/>
        <w:pageBreakBefore w:val="0"/>
        <w:widowControl w:val="0"/>
        <w:kinsoku w:val="0"/>
        <w:wordWrap/>
        <w:overflowPunct/>
        <w:topLinePunct w:val="0"/>
        <w:autoSpaceDE w:val="0"/>
        <w:autoSpaceDN w:val="0"/>
        <w:bidi w:val="0"/>
        <w:adjustRightInd w:val="0"/>
        <w:snapToGrid w:val="0"/>
        <w:textAlignment w:val="baseline"/>
      </w:pPr>
    </w:p>
    <w:p w14:paraId="7B832B7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 w:name="_Toc6885"/>
      <w:r>
        <w:rPr>
          <w:rFonts w:hint="default"/>
          <w:lang w:val="en-US" w:eastAsia="zh-CN"/>
        </w:rPr>
        <w:t>公司现状分析</w:t>
      </w:r>
      <w:bookmarkEnd w:id="1"/>
    </w:p>
    <w:p w14:paraId="21B7175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数飞科技(宁波)有限公司是一家充满活力与创新精神的科技企业，致力于为政府和企业的数字化转型提供全方位的解决方案与支持，成为企业可信赖的合作伙伴。</w:t>
      </w:r>
    </w:p>
    <w:p w14:paraId="60D3B251">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 w:name="_Toc928"/>
      <w:r>
        <w:rPr>
          <w:rFonts w:hint="default"/>
          <w:lang w:val="en-US" w:eastAsia="zh-CN"/>
        </w:rPr>
        <w:t>优势分析</w:t>
      </w:r>
      <w:bookmarkEnd w:id="2"/>
    </w:p>
    <w:p w14:paraId="50913EA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公司已建立较为完善的组织架构，明确了运维部、研发部、质量部、人力部等部门的职责分工</w:t>
      </w:r>
    </w:p>
    <w:p w14:paraId="4329971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已完成《运维服务能力管理制度》《运维服务能力改进管理制度》等核心制度的制定</w:t>
      </w:r>
    </w:p>
    <w:p w14:paraId="78E830F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已配备iTop运维管理平台和哈哈哈哈哈运维监控平台等工具</w:t>
      </w:r>
    </w:p>
    <w:p w14:paraId="280F63D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已建立服务台、备件库、服务知识等资源管理机制</w:t>
      </w:r>
    </w:p>
    <w:p w14:paraId="65299760">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24875"/>
      <w:r>
        <w:rPr>
          <w:rFonts w:hint="default"/>
          <w:lang w:val="en-US" w:eastAsia="zh-CN"/>
        </w:rPr>
        <w:t>待改进方面</w:t>
      </w:r>
      <w:bookmarkEnd w:id="3"/>
    </w:p>
    <w:p w14:paraId="46982D3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人员岗位配置需进一步充实</w:t>
      </w:r>
    </w:p>
    <w:p w14:paraId="3D0B4EC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服务知识</w:t>
      </w:r>
      <w:r>
        <w:rPr>
          <w:rFonts w:hint="default"/>
          <w:lang w:val="en-US" w:eastAsia="zh-CN"/>
        </w:rPr>
        <w:t>管理需持续优化（已明确由运维部负责）</w:t>
      </w:r>
    </w:p>
    <w:p w14:paraId="26A3FE7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运维工具的自评估机制需完善</w:t>
      </w:r>
    </w:p>
    <w:p w14:paraId="698BCAF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过程管理的量化指标需持续跟踪</w:t>
      </w:r>
    </w:p>
    <w:p w14:paraId="529CE47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962"/>
      <w:r>
        <w:rPr>
          <w:rFonts w:hint="default"/>
          <w:lang w:val="en-US" w:eastAsia="zh-CN"/>
        </w:rPr>
        <w:t>运维业务分析</w:t>
      </w:r>
      <w:bookmarkEnd w:id="4"/>
    </w:p>
    <w:p w14:paraId="207D9075">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8971"/>
      <w:r>
        <w:rPr>
          <w:rFonts w:hint="default"/>
          <w:lang w:val="en-US" w:eastAsia="zh-CN"/>
        </w:rPr>
        <w:t>开展运维服务的优势</w:t>
      </w:r>
      <w:bookmarkEnd w:id="5"/>
    </w:p>
    <w:p w14:paraId="3F0AF66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组织架构完善：公司已建立与ITSS标准匹配的组织架构，设立运维部、研发部、质量部、人力部、采购部、应急管理部等职能部门</w:t>
      </w:r>
    </w:p>
    <w:p w14:paraId="7581AF2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制度体系健全：已完成人员管理、资源管理、过程管理、质量管理等核心制度共</w:t>
      </w:r>
      <w:r>
        <w:rPr>
          <w:rFonts w:hint="eastAsia"/>
          <w:lang w:val="en-US" w:eastAsia="zh-CN"/>
        </w:rPr>
        <w:t>90</w:t>
      </w:r>
      <w:r>
        <w:rPr>
          <w:rFonts w:hint="default"/>
          <w:lang w:val="en-US" w:eastAsia="zh-CN"/>
        </w:rPr>
        <w:t>余份文件的编制</w:t>
      </w:r>
    </w:p>
    <w:p w14:paraId="46D541C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工具支撑有力：已部署iTop运维管理平台和哈哈哈哈哈运维监控平台，实现运维流程的数字化管理</w:t>
      </w:r>
    </w:p>
    <w:p w14:paraId="03C47ED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项目经验积累：已承接多个运维项目，积累了丰富的硬件巡检、故障处理、应急响应等实战经验</w:t>
      </w:r>
    </w:p>
    <w:p w14:paraId="4675F26B">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17913"/>
      <w:r>
        <w:rPr>
          <w:rFonts w:hint="default"/>
          <w:lang w:val="en-US" w:eastAsia="zh-CN"/>
        </w:rPr>
        <w:t>开展运维服务的</w:t>
      </w:r>
      <w:bookmarkEnd w:id="6"/>
      <w:r>
        <w:rPr>
          <w:rFonts w:hint="eastAsia"/>
          <w:lang w:val="en-US" w:eastAsia="zh-CN"/>
        </w:rPr>
        <w:t>重点工作</w:t>
      </w:r>
    </w:p>
    <w:p w14:paraId="7FAA75AB">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2785"/>
      <w:r>
        <w:rPr>
          <w:rFonts w:hint="default"/>
          <w:lang w:val="en-US" w:eastAsia="zh-CN"/>
        </w:rPr>
        <w:t>人员管理方面</w:t>
      </w:r>
      <w:bookmarkEnd w:id="7"/>
    </w:p>
    <w:p w14:paraId="677A21F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技术岗和操作岗人员需要补充。</w:t>
      </w:r>
    </w:p>
    <w:p w14:paraId="49C1B5D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关键岗位备份机制已建立，需持续验证备份人员的实际能力</w:t>
      </w:r>
      <w:r>
        <w:rPr>
          <w:rFonts w:hint="eastAsia"/>
          <w:lang w:val="en-US" w:eastAsia="zh-CN"/>
        </w:rPr>
        <w:t>。</w:t>
      </w:r>
    </w:p>
    <w:p w14:paraId="3C73B68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绩效考核体系需持续优化，确保考核结果与薪酬、晋升有效挂钩</w:t>
      </w:r>
      <w:r>
        <w:rPr>
          <w:rFonts w:hint="eastAsia"/>
          <w:lang w:val="en-US" w:eastAsia="zh-CN"/>
        </w:rPr>
        <w:t>。</w:t>
      </w:r>
    </w:p>
    <w:p w14:paraId="22C6CECF">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29153"/>
      <w:r>
        <w:rPr>
          <w:rFonts w:hint="default"/>
          <w:lang w:val="en-US" w:eastAsia="zh-CN"/>
        </w:rPr>
        <w:t>资源管理方面</w:t>
      </w:r>
      <w:bookmarkEnd w:id="8"/>
    </w:p>
    <w:p w14:paraId="02469E4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运维工具的自评估机制需完善，定期开展使用效果评估</w:t>
      </w:r>
    </w:p>
    <w:p w14:paraId="737EC1B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服务知识</w:t>
      </w:r>
      <w:r>
        <w:rPr>
          <w:rFonts w:hint="default"/>
          <w:lang w:val="en-US" w:eastAsia="zh-CN"/>
        </w:rPr>
        <w:t>管理需持续优化，提高知识使用率和采纳率</w:t>
      </w:r>
    </w:p>
    <w:p w14:paraId="2EA19D9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备件库管理需持续规范，确保备件可用率达标</w:t>
      </w:r>
    </w:p>
    <w:p w14:paraId="243A0E83">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8455"/>
      <w:r>
        <w:rPr>
          <w:rFonts w:hint="default"/>
          <w:lang w:val="en-US" w:eastAsia="zh-CN"/>
        </w:rPr>
        <w:t>技术管理方面</w:t>
      </w:r>
      <w:bookmarkEnd w:id="9"/>
    </w:p>
    <w:p w14:paraId="3E4FAFB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技术研发团队需充实，2026年计划招聘研发工程师</w:t>
      </w:r>
      <w:r>
        <w:rPr>
          <w:rFonts w:hint="eastAsia"/>
          <w:lang w:val="en-US" w:eastAsia="zh-CN"/>
        </w:rPr>
        <w:t>1人</w:t>
      </w:r>
    </w:p>
    <w:p w14:paraId="48F40B8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运维手册需持续完善，计划编写MySQL数据库运维手册等3本手册</w:t>
      </w:r>
    </w:p>
    <w:p w14:paraId="00E90BF2">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5935"/>
      <w:r>
        <w:rPr>
          <w:rFonts w:hint="default"/>
          <w:lang w:val="en-US" w:eastAsia="zh-CN"/>
        </w:rPr>
        <w:t>过程管理方面</w:t>
      </w:r>
      <w:bookmarkEnd w:id="10"/>
    </w:p>
    <w:p w14:paraId="20154A8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服务级别协议（SLA）达成情况需持续监控</w:t>
      </w:r>
    </w:p>
    <w:p w14:paraId="532B12A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事件、问题、变更、配置等过程的数据统计分析需加强</w:t>
      </w:r>
    </w:p>
    <w:p w14:paraId="6076C86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服务报告的及时性和准确性需持续提升</w:t>
      </w:r>
    </w:p>
    <w:p w14:paraId="212B8A1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5916"/>
      <w:r>
        <w:rPr>
          <w:rFonts w:hint="default"/>
          <w:lang w:val="en-US" w:eastAsia="zh-CN"/>
        </w:rPr>
        <w:t>年度运维服务能力计划</w:t>
      </w:r>
      <w:bookmarkEnd w:id="11"/>
    </w:p>
    <w:p w14:paraId="0DE3B6D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为实现公司运维服务的标准化、规范化，2026年公司将按照ITSS能力成熟度模型三级的要求，从人员、资源、技术、过程、</w:t>
      </w:r>
      <w:r>
        <w:rPr>
          <w:rFonts w:hint="eastAsia"/>
          <w:lang w:val="en-US" w:eastAsia="zh-CN"/>
        </w:rPr>
        <w:t>交付、应急和</w:t>
      </w:r>
      <w:r>
        <w:rPr>
          <w:rFonts w:hint="default"/>
          <w:lang w:val="en-US" w:eastAsia="zh-CN"/>
        </w:rPr>
        <w:t>质量等方面进行全面规划，持续提升运维服务能力。</w:t>
      </w:r>
    </w:p>
    <w:p w14:paraId="0EE7421C">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26777"/>
      <w:r>
        <w:rPr>
          <w:rFonts w:hint="default"/>
          <w:lang w:val="en-US" w:eastAsia="zh-CN"/>
        </w:rPr>
        <w:t>人员管理规划</w:t>
      </w:r>
      <w:bookmarkEnd w:id="12"/>
    </w:p>
    <w:p w14:paraId="3B9FDDDB">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3" w:name="_Toc22274"/>
      <w:r>
        <w:rPr>
          <w:rFonts w:hint="eastAsia"/>
          <w:lang w:val="en-US" w:eastAsia="zh-CN"/>
        </w:rPr>
        <w:t>人员招聘计划</w:t>
      </w:r>
      <w:bookmarkEnd w:id="13"/>
    </w:p>
    <w:p w14:paraId="2085A66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保障公司2026年度运维服务业务的正常开展，满足各部门人员配置需求，确保关键岗位及时补充，根据公司战略发展目标和年度人员编制计划，制定本招聘计划。招聘工作遵循“按需招聘、择优录用、人岗匹配”的原则。</w:t>
      </w:r>
    </w:p>
    <w:p w14:paraId="5F5207DE">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4" w:name="_Toc21311"/>
      <w:r>
        <w:rPr>
          <w:rFonts w:hint="eastAsia"/>
          <w:lang w:val="en-US" w:eastAsia="zh-CN"/>
        </w:rPr>
        <w:t xml:space="preserve"> 2026年度人员招聘计划表</w:t>
      </w:r>
      <w:bookmarkEnd w:id="14"/>
    </w:p>
    <w:tbl>
      <w:tblPr>
        <w:tblStyle w:val="23"/>
        <w:tblW w:w="828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15"/>
        <w:gridCol w:w="1049"/>
        <w:gridCol w:w="1484"/>
        <w:gridCol w:w="1707"/>
        <w:gridCol w:w="1181"/>
        <w:gridCol w:w="561"/>
        <w:gridCol w:w="561"/>
        <w:gridCol w:w="561"/>
        <w:gridCol w:w="561"/>
      </w:tblGrid>
      <w:tr w14:paraId="63463F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29"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16408B6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110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C878C8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部门</w:t>
            </w:r>
          </w:p>
        </w:tc>
        <w:tc>
          <w:tcPr>
            <w:tcW w:w="158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7BAFCE7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岗位名称</w:t>
            </w:r>
          </w:p>
        </w:tc>
        <w:tc>
          <w:tcPr>
            <w:tcW w:w="183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059FD5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计划招聘总人数</w:t>
            </w:r>
          </w:p>
        </w:tc>
        <w:tc>
          <w:tcPr>
            <w:tcW w:w="1253"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00DEE0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招聘方式</w:t>
            </w:r>
          </w:p>
        </w:tc>
        <w:tc>
          <w:tcPr>
            <w:tcW w:w="467"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52B55B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Q1</w:t>
            </w:r>
          </w:p>
        </w:tc>
        <w:tc>
          <w:tcPr>
            <w:tcW w:w="467"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2E90B4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Q2</w:t>
            </w:r>
          </w:p>
        </w:tc>
        <w:tc>
          <w:tcPr>
            <w:tcW w:w="467"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65CE53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Q3</w:t>
            </w:r>
          </w:p>
        </w:tc>
        <w:tc>
          <w:tcPr>
            <w:tcW w:w="467"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697B6BD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Q4</w:t>
            </w:r>
          </w:p>
        </w:tc>
      </w:tr>
      <w:tr w14:paraId="415C7C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C35847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10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5A4D32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运维部</w:t>
            </w:r>
          </w:p>
        </w:tc>
        <w:tc>
          <w:tcPr>
            <w:tcW w:w="158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DA0AA1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运维项目经理</w:t>
            </w:r>
          </w:p>
        </w:tc>
        <w:tc>
          <w:tcPr>
            <w:tcW w:w="183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8C30CB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25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84F87B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招聘网站/内部储备</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2BFC3F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B44C8E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CA4AB7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c>
          <w:tcPr>
            <w:tcW w:w="46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FE8289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r>
      <w:tr w14:paraId="76D9C4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DD57B5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110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53A1BC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运维部</w:t>
            </w:r>
          </w:p>
        </w:tc>
        <w:tc>
          <w:tcPr>
            <w:tcW w:w="158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8AB8F4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硬件运维工程师</w:t>
            </w:r>
          </w:p>
        </w:tc>
        <w:tc>
          <w:tcPr>
            <w:tcW w:w="183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FE8A73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25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1B7C7A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招聘网站</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56335A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1</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A40E12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AC5D49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c>
          <w:tcPr>
            <w:tcW w:w="46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BC4823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r>
      <w:tr w14:paraId="356FE8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887E9E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110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D8F478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运维部</w:t>
            </w:r>
          </w:p>
        </w:tc>
        <w:tc>
          <w:tcPr>
            <w:tcW w:w="158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20AC56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服务台专员</w:t>
            </w:r>
          </w:p>
        </w:tc>
        <w:tc>
          <w:tcPr>
            <w:tcW w:w="183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DDCC8B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25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0C9A3B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招聘网站</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1CA4E2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0</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A8181B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E19E53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46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7EC325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r>
      <w:tr w14:paraId="0C4CBC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270C82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110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1D2351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研发部</w:t>
            </w:r>
          </w:p>
        </w:tc>
        <w:tc>
          <w:tcPr>
            <w:tcW w:w="158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B1A61B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研发工程师</w:t>
            </w:r>
          </w:p>
        </w:tc>
        <w:tc>
          <w:tcPr>
            <w:tcW w:w="183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6F0B0B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25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A9400A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招聘网站</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2969F3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0</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2FEAEF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A2E6A1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c>
          <w:tcPr>
            <w:tcW w:w="46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479CB3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r>
      <w:tr w14:paraId="553B99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296915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110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D7F636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质量部</w:t>
            </w:r>
          </w:p>
        </w:tc>
        <w:tc>
          <w:tcPr>
            <w:tcW w:w="158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ACFE89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质量部专员</w:t>
            </w:r>
          </w:p>
        </w:tc>
        <w:tc>
          <w:tcPr>
            <w:tcW w:w="183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A371CE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125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627B09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招聘网站</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B36576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0</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89EA5A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c>
          <w:tcPr>
            <w:tcW w:w="46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471BA7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46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752B77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0</w:t>
            </w:r>
          </w:p>
        </w:tc>
      </w:tr>
      <w:tr w14:paraId="4EF2F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29"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5F54FCB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合计</w:t>
            </w:r>
          </w:p>
        </w:tc>
        <w:tc>
          <w:tcPr>
            <w:tcW w:w="110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B69E71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p>
        </w:tc>
        <w:tc>
          <w:tcPr>
            <w:tcW w:w="158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AB959F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p>
        </w:tc>
        <w:tc>
          <w:tcPr>
            <w:tcW w:w="183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87CF01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6</w:t>
            </w:r>
          </w:p>
        </w:tc>
        <w:tc>
          <w:tcPr>
            <w:tcW w:w="1253"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3B5810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b/>
              </w:rPr>
            </w:pPr>
          </w:p>
        </w:tc>
        <w:tc>
          <w:tcPr>
            <w:tcW w:w="467"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C35622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b/>
              </w:rPr>
            </w:pPr>
            <w:r>
              <w:rPr>
                <w:b/>
              </w:rPr>
              <w:t>2</w:t>
            </w:r>
          </w:p>
        </w:tc>
        <w:tc>
          <w:tcPr>
            <w:tcW w:w="467"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563B49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1</w:t>
            </w:r>
          </w:p>
        </w:tc>
        <w:tc>
          <w:tcPr>
            <w:tcW w:w="467"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6AE3EF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2</w:t>
            </w:r>
          </w:p>
        </w:tc>
        <w:tc>
          <w:tcPr>
            <w:tcW w:w="467"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64126F1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1</w:t>
            </w:r>
          </w:p>
        </w:tc>
      </w:tr>
    </w:tbl>
    <w:p w14:paraId="554C5B9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KPI指标：人员招聘计划达成率</w:t>
      </w:r>
    </w:p>
    <w:p w14:paraId="6D53314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人员招聘计划达成率是反映年度招聘计划完成情况的量化指标，其计算公式为：人员招聘计划达成率 = (实际</w:t>
      </w:r>
      <w:r>
        <w:rPr>
          <w:rFonts w:hint="eastAsia"/>
          <w:lang w:val="en-US" w:eastAsia="zh-CN"/>
        </w:rPr>
        <w:t>招聘</w:t>
      </w:r>
      <w:r>
        <w:rPr>
          <w:rFonts w:hint="default"/>
          <w:lang w:val="en-US" w:eastAsia="zh-CN"/>
        </w:rPr>
        <w:t>人数</w:t>
      </w:r>
      <w:r>
        <w:rPr>
          <w:rFonts w:hint="eastAsia"/>
          <w:lang w:val="en-US" w:eastAsia="zh-CN"/>
        </w:rPr>
        <w:t>/</w:t>
      </w:r>
      <w:r>
        <w:rPr>
          <w:rFonts w:hint="default"/>
          <w:lang w:val="en-US" w:eastAsia="zh-CN"/>
        </w:rPr>
        <w:t>计划招聘人数) × 100%。目标值为 ≥ 80%，按季度进行考核，责任部门为人力部。</w:t>
      </w:r>
    </w:p>
    <w:p w14:paraId="739F4C76">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5" w:name="_Toc7963"/>
      <w:r>
        <w:rPr>
          <w:rFonts w:hint="eastAsia"/>
          <w:lang w:val="en-US" w:eastAsia="zh-CN"/>
        </w:rPr>
        <w:t>人员储备计划</w:t>
      </w:r>
      <w:bookmarkEnd w:id="15"/>
    </w:p>
    <w:p w14:paraId="16EEE90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ascii="Segoe UI" w:hAnsi="Segoe UI" w:eastAsia="Segoe UI" w:cs="Segoe UI"/>
          <w:i w:val="0"/>
          <w:iCs w:val="0"/>
          <w:caps w:val="0"/>
          <w:color w:val="0F1115"/>
          <w:spacing w:val="0"/>
          <w:sz w:val="24"/>
          <w:szCs w:val="24"/>
          <w:shd w:val="clear" w:color="auto" w:fill="FFFFFF"/>
        </w:rPr>
      </w:pPr>
      <w:r>
        <w:rPr>
          <w:rFonts w:ascii="Segoe UI" w:hAnsi="Segoe UI" w:eastAsia="Segoe UI" w:cs="Segoe UI"/>
          <w:i w:val="0"/>
          <w:iCs w:val="0"/>
          <w:caps w:val="0"/>
          <w:color w:val="0F1115"/>
          <w:spacing w:val="0"/>
          <w:sz w:val="24"/>
          <w:szCs w:val="24"/>
          <w:shd w:val="clear" w:color="auto" w:fill="FFFFFF"/>
        </w:rPr>
        <w:t>为保障公司关键岗位人员变动的连续性，降低因人员流失、岗位调整带来的业务风险，建立可持续的人才供给机制，特制定本储备计划。储备工作遵循“提前规划、定向培养、动态管理”的原则，通过内部培养与外部引进相结合的方式，为公司运维服务能力建设提供稳定的人才梯队支持，确保关键岗位空缺时能够快速补位。</w:t>
      </w:r>
    </w:p>
    <w:p w14:paraId="492F7C81">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ascii="Segoe UI" w:hAnsi="Segoe UI" w:eastAsia="Segoe UI" w:cs="Segoe UI"/>
          <w:i w:val="0"/>
          <w:iCs w:val="0"/>
          <w:caps w:val="0"/>
          <w:color w:val="0F1115"/>
          <w:spacing w:val="0"/>
          <w:sz w:val="24"/>
          <w:szCs w:val="24"/>
          <w:shd w:val="clear" w:color="auto" w:fill="FFFFFF"/>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6" w:name="_Toc12641"/>
      <w:r>
        <w:rPr>
          <w:rFonts w:hint="eastAsia"/>
          <w:lang w:val="en-US" w:eastAsia="zh-CN"/>
        </w:rPr>
        <w:t xml:space="preserve"> 2026年度人员内部储备计划表</w:t>
      </w:r>
      <w:bookmarkEnd w:id="16"/>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07"/>
        <w:gridCol w:w="1743"/>
        <w:gridCol w:w="1728"/>
        <w:gridCol w:w="1310"/>
        <w:gridCol w:w="1716"/>
        <w:gridCol w:w="1318"/>
      </w:tblGrid>
      <w:tr w14:paraId="454E7C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707"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4DB456F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序号</w:t>
            </w:r>
          </w:p>
        </w:tc>
        <w:tc>
          <w:tcPr>
            <w:tcW w:w="1743"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153E3B5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计划完成时间</w:t>
            </w:r>
          </w:p>
        </w:tc>
        <w:tc>
          <w:tcPr>
            <w:tcW w:w="1728"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71293E7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储备岗位</w:t>
            </w:r>
          </w:p>
        </w:tc>
        <w:tc>
          <w:tcPr>
            <w:tcW w:w="1310"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257E86C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储备方式</w:t>
            </w:r>
          </w:p>
        </w:tc>
        <w:tc>
          <w:tcPr>
            <w:tcW w:w="1716"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745F3EE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储备目标人数</w:t>
            </w:r>
          </w:p>
        </w:tc>
        <w:tc>
          <w:tcPr>
            <w:tcW w:w="1317"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1756BA6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储备来源</w:t>
            </w:r>
          </w:p>
        </w:tc>
      </w:tr>
      <w:tr w14:paraId="7F94A2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8996B1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w:t>
            </w:r>
          </w:p>
        </w:tc>
        <w:tc>
          <w:tcPr>
            <w:tcW w:w="174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88F73D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2026年6月</w:t>
            </w:r>
          </w:p>
        </w:tc>
        <w:tc>
          <w:tcPr>
            <w:tcW w:w="172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C241C4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运维项目经理</w:t>
            </w:r>
          </w:p>
        </w:tc>
        <w:tc>
          <w:tcPr>
            <w:tcW w:w="131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36A8BE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内部培养</w:t>
            </w:r>
          </w:p>
        </w:tc>
        <w:tc>
          <w:tcPr>
            <w:tcW w:w="171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766DB2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1人</w:t>
            </w:r>
          </w:p>
        </w:tc>
        <w:tc>
          <w:tcPr>
            <w:tcW w:w="131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4FBAA6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内部选拔</w:t>
            </w:r>
          </w:p>
        </w:tc>
      </w:tr>
      <w:tr w14:paraId="069013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0" w:hRule="atLeast"/>
          <w:jc w:val="center"/>
        </w:trPr>
        <w:tc>
          <w:tcPr>
            <w:tcW w:w="707"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2FCA4AF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w:t>
            </w:r>
          </w:p>
        </w:tc>
        <w:tc>
          <w:tcPr>
            <w:tcW w:w="1743"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57ECA30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2026年12月</w:t>
            </w:r>
          </w:p>
        </w:tc>
        <w:tc>
          <w:tcPr>
            <w:tcW w:w="1728"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3CE387A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研发工程师</w:t>
            </w:r>
          </w:p>
        </w:tc>
        <w:tc>
          <w:tcPr>
            <w:tcW w:w="1310"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250ED33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内部培养</w:t>
            </w:r>
          </w:p>
        </w:tc>
        <w:tc>
          <w:tcPr>
            <w:tcW w:w="1716"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59D3A66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1人</w:t>
            </w:r>
          </w:p>
        </w:tc>
        <w:tc>
          <w:tcPr>
            <w:tcW w:w="1317"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00B3825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内部选拔</w:t>
            </w:r>
          </w:p>
        </w:tc>
      </w:tr>
    </w:tbl>
    <w:p w14:paraId="6E794BB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pPr>
      <w:r>
        <w:rPr>
          <w:rFonts w:hint="eastAsia" w:ascii="Segoe UI" w:hAnsi="Segoe UI" w:eastAsia="Segoe UI" w:cs="Segoe UI"/>
          <w:i w:val="0"/>
          <w:iCs w:val="0"/>
          <w:caps w:val="0"/>
          <w:color w:val="0F1115"/>
          <w:spacing w:val="0"/>
          <w:sz w:val="24"/>
          <w:szCs w:val="24"/>
          <w:shd w:val="clear" w:color="auto" w:fill="FFFFFF"/>
          <w:lang w:val="en-US" w:eastAsia="zh-CN"/>
        </w:rPr>
        <w:t>KPI指标：人员储备计划达成率</w:t>
      </w:r>
    </w:p>
    <w:p w14:paraId="1583DDC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pPr>
      <w:r>
        <w:rPr>
          <w:rFonts w:hint="eastAsia" w:ascii="Segoe UI" w:hAnsi="Segoe UI" w:eastAsia="Segoe UI" w:cs="Segoe UI"/>
          <w:i w:val="0"/>
          <w:iCs w:val="0"/>
          <w:caps w:val="0"/>
          <w:color w:val="0F1115"/>
          <w:spacing w:val="0"/>
          <w:sz w:val="24"/>
          <w:szCs w:val="24"/>
          <w:shd w:val="clear" w:color="auto" w:fill="FFFFFF"/>
          <w:lang w:val="en-US" w:eastAsia="zh-CN"/>
        </w:rPr>
        <w:t>人员储备计划达成率是反映关键岗位内部储备计划完成情况的量化指标，其计算公式为：人员储备计划达成率 = (实际储备人数 / 计划储备人数) × 100%。目标值为 ≥ 80%，按季度进行考核，责任部门为人力部。</w:t>
      </w:r>
    </w:p>
    <w:p w14:paraId="10195CB6">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7" w:name="_Toc6400"/>
      <w:r>
        <w:rPr>
          <w:rFonts w:hint="eastAsia"/>
          <w:lang w:val="en-US" w:eastAsia="zh-CN"/>
        </w:rPr>
        <w:t>人员培训计划</w:t>
      </w:r>
      <w:bookmarkEnd w:id="17"/>
    </w:p>
    <w:p w14:paraId="2A13E31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ascii="Segoe UI" w:hAnsi="Segoe UI" w:eastAsia="Segoe UI" w:cs="Segoe UI"/>
          <w:i w:val="0"/>
          <w:iCs w:val="0"/>
          <w:caps w:val="0"/>
          <w:color w:val="0F1115"/>
          <w:spacing w:val="0"/>
          <w:sz w:val="24"/>
          <w:szCs w:val="24"/>
          <w:shd w:val="clear" w:color="auto" w:fill="FFFFFF"/>
        </w:rPr>
      </w:pPr>
      <w:r>
        <w:rPr>
          <w:rFonts w:ascii="Segoe UI" w:hAnsi="Segoe UI" w:eastAsia="Segoe UI" w:cs="Segoe UI"/>
          <w:i w:val="0"/>
          <w:iCs w:val="0"/>
          <w:caps w:val="0"/>
          <w:color w:val="0F1115"/>
          <w:spacing w:val="0"/>
          <w:sz w:val="24"/>
          <w:szCs w:val="24"/>
          <w:shd w:val="clear" w:color="auto" w:fill="FFFFFF"/>
        </w:rPr>
        <w:t>为提升员工的专业技能和综合素质，确保运维服务人员能力满足岗位要求，根据《人员培训管理制度》制定2026年度培训计划。培训主要分为管理、技术、操作三个方向，人力部对培训情况进行汇总并对相关课件进行统一归档。</w:t>
      </w:r>
    </w:p>
    <w:p w14:paraId="6582A30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pPr>
    </w:p>
    <w:p w14:paraId="1FD4E22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sectPr>
          <w:pgSz w:w="11906" w:h="16838"/>
          <w:pgMar w:top="1440" w:right="1800" w:bottom="1440" w:left="1800" w:header="851" w:footer="992" w:gutter="0"/>
          <w:cols w:space="425" w:num="1"/>
          <w:docGrid w:type="lines" w:linePitch="312" w:charSpace="0"/>
        </w:sectPr>
      </w:pPr>
    </w:p>
    <w:p w14:paraId="672D53B7">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ascii="Segoe UI" w:hAnsi="Segoe UI" w:eastAsia="Segoe UI" w:cs="Segoe UI"/>
          <w:i w:val="0"/>
          <w:iCs w:val="0"/>
          <w:caps w:val="0"/>
          <w:color w:val="0F1115"/>
          <w:spacing w:val="0"/>
          <w:sz w:val="24"/>
          <w:szCs w:val="24"/>
          <w:shd w:val="clear" w:color="auto" w:fill="FFFFFF"/>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18" w:name="_Toc28631"/>
      <w:r>
        <w:rPr>
          <w:rFonts w:hint="eastAsia"/>
          <w:lang w:val="en-US" w:eastAsia="zh-CN"/>
        </w:rPr>
        <w:t xml:space="preserve"> 2026年度人员培训计划表</w:t>
      </w:r>
      <w:bookmarkEnd w:id="18"/>
    </w:p>
    <w:tbl>
      <w:tblPr>
        <w:tblStyle w:val="23"/>
        <w:tblW w:w="1417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07"/>
        <w:gridCol w:w="888"/>
        <w:gridCol w:w="2427"/>
        <w:gridCol w:w="911"/>
        <w:gridCol w:w="1642"/>
        <w:gridCol w:w="1260"/>
        <w:gridCol w:w="885"/>
        <w:gridCol w:w="1532"/>
        <w:gridCol w:w="1258"/>
        <w:gridCol w:w="1453"/>
        <w:gridCol w:w="1211"/>
      </w:tblGrid>
      <w:tr w14:paraId="48789F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707"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1E4CB8B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类型</w:t>
            </w:r>
          </w:p>
        </w:tc>
        <w:tc>
          <w:tcPr>
            <w:tcW w:w="888"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2574536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序号</w:t>
            </w:r>
          </w:p>
        </w:tc>
        <w:tc>
          <w:tcPr>
            <w:tcW w:w="2427"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9807A1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培训内容</w:t>
            </w:r>
          </w:p>
        </w:tc>
        <w:tc>
          <w:tcPr>
            <w:tcW w:w="911"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5CB11A3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时长</w:t>
            </w:r>
          </w:p>
        </w:tc>
        <w:tc>
          <w:tcPr>
            <w:tcW w:w="164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5F98AC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培训对象</w:t>
            </w:r>
          </w:p>
        </w:tc>
        <w:tc>
          <w:tcPr>
            <w:tcW w:w="1260"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137435F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培训老师</w:t>
            </w:r>
          </w:p>
        </w:tc>
        <w:tc>
          <w:tcPr>
            <w:tcW w:w="885"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7FCBD30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方式</w:t>
            </w:r>
          </w:p>
        </w:tc>
        <w:tc>
          <w:tcPr>
            <w:tcW w:w="153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4E29D44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计划时间</w:t>
            </w:r>
          </w:p>
        </w:tc>
        <w:tc>
          <w:tcPr>
            <w:tcW w:w="1258"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2D56094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考核方式</w:t>
            </w:r>
          </w:p>
        </w:tc>
        <w:tc>
          <w:tcPr>
            <w:tcW w:w="1453"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69160F9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负责部门</w:t>
            </w:r>
          </w:p>
        </w:tc>
        <w:tc>
          <w:tcPr>
            <w:tcW w:w="1211"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1B1ACF2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snapToGrid w:val="0"/>
                <w:color w:val="000000"/>
                <w:spacing w:val="0"/>
                <w:kern w:val="0"/>
                <w:sz w:val="22"/>
                <w:szCs w:val="22"/>
                <w:lang w:val="en-US" w:eastAsia="zh-CN"/>
              </w:rPr>
            </w:pPr>
            <w:r>
              <w:rPr>
                <w:rFonts w:hint="default" w:ascii="Segoe UI" w:hAnsi="Segoe UI" w:eastAsia="Segoe UI" w:cs="Segoe UI"/>
                <w:b/>
                <w:i w:val="0"/>
                <w:iCs w:val="0"/>
                <w:caps w:val="0"/>
                <w:snapToGrid w:val="0"/>
                <w:color w:val="000000"/>
                <w:spacing w:val="0"/>
                <w:kern w:val="0"/>
                <w:sz w:val="22"/>
                <w:szCs w:val="22"/>
                <w:lang w:val="en-US" w:eastAsia="zh-CN"/>
              </w:rPr>
              <w:t>预算</w:t>
            </w:r>
          </w:p>
          <w:p w14:paraId="75C239E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(元)</w:t>
            </w:r>
          </w:p>
        </w:tc>
      </w:tr>
      <w:tr w14:paraId="05718B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A728A4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管理</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73FDED9">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3F89FE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新员工入职培训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02E0A8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2.5h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B05AC8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入职新员工</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5640D8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马盛艳</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58B223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8E7986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入职一周内</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654DAE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口头提问</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068F2B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人力部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BCCE9C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500</w:t>
            </w:r>
          </w:p>
        </w:tc>
      </w:tr>
      <w:tr w14:paraId="6BDCEA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A44599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管理</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7522E3C">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BBC911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ITSS运维体系培训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CBF470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4h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4C67E9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部门经理</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7CB110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外部专家</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417BCB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外训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D01C40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2026年1月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C7ECF8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现场交流</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359698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203F1B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4000</w:t>
            </w:r>
          </w:p>
        </w:tc>
      </w:tr>
      <w:tr w14:paraId="18CB6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55BA3F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管理</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1B5D057">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A29D24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质量管理培训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3193B8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3h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3FCD4D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部门经理</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2143F4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李勤锐</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7ACB9F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5292C2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2026年2月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300F50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现场交流</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1745FC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质量部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DA7B23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1200</w:t>
            </w:r>
          </w:p>
        </w:tc>
      </w:tr>
      <w:tr w14:paraId="05870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5F32AA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技术</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FE40ABE">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8328DD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现场实施规范</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2197EB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4h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FF2845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运维工程师</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C7F323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汪锦坤</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66B1F0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95E3DD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2026年3月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96C01A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口头提问</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7C001F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CB20D6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1200</w:t>
            </w:r>
          </w:p>
        </w:tc>
      </w:tr>
      <w:tr w14:paraId="39802D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67784E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技术</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7124A42">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5E284C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运维工具培训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EDC990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C6E30B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运维相关人员</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4ECF49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汪锦坤</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96D7D7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C3DD18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2026年4月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876C66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心得总结</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5A5DD6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2CAB26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800</w:t>
            </w:r>
          </w:p>
        </w:tc>
      </w:tr>
      <w:tr w14:paraId="3FEA42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9DE856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技术</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80D5D2F">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83D779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机房常见故障培训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8135B7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3h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FA9E14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运维工程师</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A7A20E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汪锦坤</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6DF259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8E2687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2026年6月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C2F53B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现场交流</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B2B12B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7B7D49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500</w:t>
            </w:r>
          </w:p>
        </w:tc>
      </w:tr>
      <w:tr w14:paraId="2EA800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567882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技术</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2E233B8">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162297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交付规范培训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4F4CB0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52A8A1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运维工程师</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400564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汪锦坤</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3018DA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783B58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2026年6月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277B0C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现场交流</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EC42A5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4DD8DB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1200</w:t>
            </w:r>
          </w:p>
        </w:tc>
      </w:tr>
      <w:tr w14:paraId="0D9C3C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C3E773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技术</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D94E747">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7BDE52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监控系统培训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B7ADB3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8h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AEAFE1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运维工程师</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4A4E17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厂商</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AFD6DE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外训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EED5CF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2026年7月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DE98B8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现场交流</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EBED74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F991F5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5200</w:t>
            </w:r>
          </w:p>
        </w:tc>
      </w:tr>
      <w:tr w14:paraId="698836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A28174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操作</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B652EEF">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0C463F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服务</w:t>
            </w:r>
            <w:r>
              <w:rPr>
                <w:rFonts w:hint="eastAsia" w:ascii="Segoe UI" w:hAnsi="Segoe UI" w:eastAsia="Segoe UI" w:cs="Segoe UI"/>
                <w:i w:val="0"/>
                <w:iCs w:val="0"/>
                <w:caps w:val="0"/>
                <w:snapToGrid w:val="0"/>
                <w:color w:val="000000"/>
                <w:spacing w:val="0"/>
                <w:kern w:val="0"/>
                <w:sz w:val="22"/>
                <w:szCs w:val="22"/>
                <w:lang w:val="en-US" w:eastAsia="zh-CN"/>
              </w:rPr>
              <w:t>知识</w:t>
            </w:r>
            <w:r>
              <w:rPr>
                <w:rFonts w:hint="default" w:ascii="Segoe UI" w:hAnsi="Segoe UI" w:eastAsia="Segoe UI" w:cs="Segoe UI"/>
                <w:i w:val="0"/>
                <w:iCs w:val="0"/>
                <w:caps w:val="0"/>
                <w:snapToGrid w:val="0"/>
                <w:color w:val="000000"/>
                <w:spacing w:val="0"/>
                <w:kern w:val="0"/>
                <w:sz w:val="22"/>
                <w:szCs w:val="22"/>
                <w:lang w:val="en-US" w:eastAsia="zh-CN"/>
              </w:rPr>
              <w:t>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A4B113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0E8334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服务台专员</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5E6080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汪锦坤</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0C4564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9062F9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2026年8月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7B19DB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口头提问</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CF5A70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3AA66F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500</w:t>
            </w:r>
          </w:p>
        </w:tc>
      </w:tr>
      <w:tr w14:paraId="32A32E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ABBFE9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管理</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678DEB1">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E0BD32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22"/>
                <w:szCs w:val="22"/>
                <w:lang w:val="en-US" w:eastAsia="zh-CN"/>
              </w:rPr>
            </w:pPr>
            <w:r>
              <w:rPr>
                <w:rFonts w:hint="eastAsia" w:ascii="Segoe UI" w:hAnsi="Segoe UI" w:eastAsia="宋体" w:cs="Segoe UI"/>
                <w:i w:val="0"/>
                <w:iCs w:val="0"/>
                <w:caps w:val="0"/>
                <w:color w:val="0F1115"/>
                <w:spacing w:val="0"/>
                <w:sz w:val="22"/>
                <w:szCs w:val="22"/>
                <w:lang w:val="en-US" w:eastAsia="zh-CN"/>
              </w:rPr>
              <w:t>研发管理规范培训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30BDD2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DCFC25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运维相关人员</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B25E46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黄正宇</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966F3E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816AB0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2026年9月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48B8AA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口头提问</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C9F1C2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310647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500</w:t>
            </w:r>
          </w:p>
        </w:tc>
      </w:tr>
      <w:tr w14:paraId="7D7536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EE2EDF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技术</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E099117">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3500EA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机房设备基础知识培训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060312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2h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9DA556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入职新员工</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3A9E50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汪锦坤</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D8121C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7BFA91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2026年</w:t>
            </w:r>
            <w:r>
              <w:rPr>
                <w:rFonts w:hint="eastAsia" w:ascii="Segoe UI" w:hAnsi="Segoe UI" w:eastAsia="Segoe UI" w:cs="Segoe UI"/>
                <w:i w:val="0"/>
                <w:iCs w:val="0"/>
                <w:caps w:val="0"/>
                <w:snapToGrid w:val="0"/>
                <w:color w:val="000000"/>
                <w:spacing w:val="0"/>
                <w:kern w:val="0"/>
                <w:sz w:val="22"/>
                <w:szCs w:val="22"/>
                <w:lang w:val="en-US" w:eastAsia="zh-CN"/>
              </w:rPr>
              <w:t>10</w:t>
            </w:r>
            <w:r>
              <w:rPr>
                <w:rFonts w:hint="default" w:ascii="Segoe UI" w:hAnsi="Segoe UI" w:eastAsia="Segoe UI" w:cs="Segoe UI"/>
                <w:i w:val="0"/>
                <w:iCs w:val="0"/>
                <w:caps w:val="0"/>
                <w:snapToGrid w:val="0"/>
                <w:color w:val="000000"/>
                <w:spacing w:val="0"/>
                <w:kern w:val="0"/>
                <w:sz w:val="22"/>
                <w:szCs w:val="22"/>
                <w:lang w:val="en-US" w:eastAsia="zh-CN"/>
              </w:rPr>
              <w:t>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61A919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现场交流</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8954D4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41F44B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F1115"/>
                <w:spacing w:val="0"/>
                <w:kern w:val="0"/>
                <w:sz w:val="22"/>
                <w:szCs w:val="22"/>
                <w:lang w:val="en-US" w:eastAsia="zh-CN" w:bidi="ar-SA"/>
              </w:rPr>
            </w:pPr>
            <w:r>
              <w:rPr>
                <w:rFonts w:hint="default" w:ascii="Segoe UI" w:hAnsi="Segoe UI" w:eastAsia="Segoe UI" w:cs="Segoe UI"/>
                <w:i w:val="0"/>
                <w:iCs w:val="0"/>
                <w:caps w:val="0"/>
                <w:snapToGrid w:val="0"/>
                <w:color w:val="000000"/>
                <w:spacing w:val="0"/>
                <w:kern w:val="0"/>
                <w:sz w:val="22"/>
                <w:szCs w:val="22"/>
                <w:lang w:val="en-US" w:eastAsia="zh-CN"/>
              </w:rPr>
              <w:t>800</w:t>
            </w:r>
          </w:p>
        </w:tc>
      </w:tr>
      <w:tr w14:paraId="34C6A2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211106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管理</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5D8D757">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B03225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信息安全风险培训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DDD5C5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3h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9DC45C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运维相关人员</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92769C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外部专家</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9D4CF8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外训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003A6E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2026年11月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484AE7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现场交流</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009848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FB8741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4800</w:t>
            </w:r>
          </w:p>
        </w:tc>
      </w:tr>
      <w:tr w14:paraId="150DF8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B49F28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操作</w:t>
            </w:r>
          </w:p>
        </w:tc>
        <w:tc>
          <w:tcPr>
            <w:tcW w:w="88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A4A1E90">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spacing w:line="240" w:lineRule="auto"/>
              <w:ind w:left="425" w:leftChars="0" w:right="0" w:rightChars="0" w:hanging="425" w:firstLineChars="0"/>
              <w:jc w:val="center"/>
              <w:textAlignment w:val="baseline"/>
              <w:rPr>
                <w:rFonts w:hint="default" w:ascii="Segoe UI" w:hAnsi="Segoe UI" w:eastAsia="Segoe UI" w:cs="Segoe UI"/>
                <w:i w:val="0"/>
                <w:iCs w:val="0"/>
                <w:caps w:val="0"/>
                <w:color w:val="0F1115"/>
                <w:spacing w:val="0"/>
                <w:sz w:val="22"/>
                <w:szCs w:val="22"/>
              </w:rPr>
            </w:pPr>
          </w:p>
        </w:tc>
        <w:tc>
          <w:tcPr>
            <w:tcW w:w="24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2DA973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备件管理制度培训</w:t>
            </w:r>
          </w:p>
        </w:tc>
        <w:tc>
          <w:tcPr>
            <w:tcW w:w="91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C43334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1.5h</w:t>
            </w:r>
          </w:p>
        </w:tc>
        <w:tc>
          <w:tcPr>
            <w:tcW w:w="164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BCF2EF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备件管理人员</w:t>
            </w:r>
          </w:p>
        </w:tc>
        <w:tc>
          <w:tcPr>
            <w:tcW w:w="126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A5A6F0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刘海燕</w:t>
            </w:r>
          </w:p>
        </w:tc>
        <w:tc>
          <w:tcPr>
            <w:tcW w:w="885"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5F22ED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w:t>
            </w:r>
          </w:p>
        </w:tc>
        <w:tc>
          <w:tcPr>
            <w:tcW w:w="15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05430E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2026年12月</w:t>
            </w:r>
          </w:p>
        </w:tc>
        <w:tc>
          <w:tcPr>
            <w:tcW w:w="1258"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9E0417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口头提问</w:t>
            </w:r>
          </w:p>
        </w:tc>
        <w:tc>
          <w:tcPr>
            <w:tcW w:w="145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D39578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eastAsia" w:ascii="Segoe UI" w:hAnsi="Segoe UI" w:eastAsia="Segoe UI" w:cs="Segoe UI"/>
                <w:i w:val="0"/>
                <w:iCs w:val="0"/>
                <w:caps w:val="0"/>
                <w:snapToGrid w:val="0"/>
                <w:color w:val="000000"/>
                <w:spacing w:val="0"/>
                <w:kern w:val="0"/>
                <w:sz w:val="22"/>
                <w:szCs w:val="22"/>
                <w:lang w:val="en-US" w:eastAsia="zh-CN"/>
              </w:rPr>
              <w:t>备件库</w:t>
            </w:r>
          </w:p>
        </w:tc>
        <w:tc>
          <w:tcPr>
            <w:tcW w:w="12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E32FF6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500</w:t>
            </w:r>
          </w:p>
        </w:tc>
      </w:tr>
      <w:tr w14:paraId="3ACC7A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707"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6D735A2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合计</w:t>
            </w:r>
          </w:p>
        </w:tc>
        <w:tc>
          <w:tcPr>
            <w:tcW w:w="888"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09231DC3">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p>
        </w:tc>
        <w:tc>
          <w:tcPr>
            <w:tcW w:w="2427"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375225B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p>
        </w:tc>
        <w:tc>
          <w:tcPr>
            <w:tcW w:w="911"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553B024F">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ascii="Segoe UI" w:hAnsi="Segoe UI" w:eastAsia="Segoe UI" w:cs="Segoe UI"/>
                <w:b/>
                <w:i w:val="0"/>
                <w:iCs w:val="0"/>
                <w:caps w:val="0"/>
                <w:color w:val="0F1115"/>
                <w:spacing w:val="0"/>
                <w:sz w:val="22"/>
                <w:szCs w:val="22"/>
              </w:rPr>
            </w:pPr>
          </w:p>
        </w:tc>
        <w:tc>
          <w:tcPr>
            <w:tcW w:w="164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238E1AFC">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ascii="Segoe UI" w:hAnsi="Segoe UI" w:eastAsia="Segoe UI" w:cs="Segoe UI"/>
                <w:b/>
                <w:i w:val="0"/>
                <w:iCs w:val="0"/>
                <w:caps w:val="0"/>
                <w:color w:val="0F1115"/>
                <w:spacing w:val="0"/>
                <w:sz w:val="22"/>
                <w:szCs w:val="22"/>
              </w:rPr>
            </w:pPr>
          </w:p>
        </w:tc>
        <w:tc>
          <w:tcPr>
            <w:tcW w:w="1260"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61683FFC">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p>
        </w:tc>
        <w:tc>
          <w:tcPr>
            <w:tcW w:w="885"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1960CA53">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ascii="Segoe UI" w:hAnsi="Segoe UI" w:eastAsia="Segoe UI" w:cs="Segoe UI"/>
                <w:b/>
                <w:i w:val="0"/>
                <w:iCs w:val="0"/>
                <w:caps w:val="0"/>
                <w:color w:val="0F1115"/>
                <w:spacing w:val="0"/>
                <w:sz w:val="22"/>
                <w:szCs w:val="22"/>
              </w:rPr>
            </w:pPr>
          </w:p>
        </w:tc>
        <w:tc>
          <w:tcPr>
            <w:tcW w:w="153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559EFD6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p>
        </w:tc>
        <w:tc>
          <w:tcPr>
            <w:tcW w:w="1258"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6B063430">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p>
        </w:tc>
        <w:tc>
          <w:tcPr>
            <w:tcW w:w="1453"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6572F33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p>
        </w:tc>
        <w:tc>
          <w:tcPr>
            <w:tcW w:w="1211"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3F921E3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b/>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21700</w:t>
            </w:r>
          </w:p>
        </w:tc>
      </w:tr>
    </w:tbl>
    <w:p w14:paraId="11A88485">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sectPr>
          <w:pgSz w:w="16838" w:h="11906" w:orient="landscape"/>
          <w:pgMar w:top="1800" w:right="1440" w:bottom="1800" w:left="1440" w:header="851" w:footer="992" w:gutter="0"/>
          <w:cols w:space="425" w:num="1"/>
          <w:docGrid w:type="lines" w:linePitch="312" w:charSpace="0"/>
        </w:sectPr>
      </w:pPr>
      <w:r>
        <w:rPr>
          <w:rFonts w:hint="eastAsia" w:ascii="Segoe UI" w:hAnsi="Segoe UI" w:eastAsia="Segoe UI" w:cs="Segoe UI"/>
          <w:i w:val="0"/>
          <w:iCs w:val="0"/>
          <w:caps w:val="0"/>
          <w:color w:val="0F1115"/>
          <w:spacing w:val="0"/>
          <w:sz w:val="24"/>
          <w:szCs w:val="24"/>
          <w:shd w:val="clear" w:color="auto" w:fill="FFFFFF"/>
          <w:lang w:val="en-US" w:eastAsia="zh-CN"/>
        </w:rPr>
        <w:br w:type="page"/>
      </w:r>
    </w:p>
    <w:p w14:paraId="3459CAD6">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19" w:name="_Toc18978"/>
      <w:r>
        <w:rPr>
          <w:rFonts w:hint="eastAsia"/>
          <w:lang w:val="en-US" w:eastAsia="zh-CN"/>
        </w:rPr>
        <w:t xml:space="preserve"> 2026年度人员培训预算汇总表</w:t>
      </w:r>
      <w:bookmarkEnd w:id="19"/>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09"/>
        <w:gridCol w:w="2576"/>
        <w:gridCol w:w="4237"/>
      </w:tblGrid>
      <w:tr w14:paraId="50D2F7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709"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1D327EF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部门</w:t>
            </w:r>
          </w:p>
        </w:tc>
        <w:tc>
          <w:tcPr>
            <w:tcW w:w="2576"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41F3DBF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预算金额（元）</w:t>
            </w:r>
          </w:p>
        </w:tc>
        <w:tc>
          <w:tcPr>
            <w:tcW w:w="4237"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42662BE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说明</w:t>
            </w:r>
          </w:p>
        </w:tc>
      </w:tr>
      <w:tr w14:paraId="73D9D8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0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01E2799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257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C7691C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19000</w:t>
            </w:r>
          </w:p>
        </w:tc>
        <w:tc>
          <w:tcPr>
            <w:tcW w:w="423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94B290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内训+外训</w:t>
            </w:r>
          </w:p>
        </w:tc>
      </w:tr>
      <w:tr w14:paraId="5A8357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0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0565F1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w:t>
            </w:r>
          </w:p>
        </w:tc>
        <w:tc>
          <w:tcPr>
            <w:tcW w:w="257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8AD992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500</w:t>
            </w:r>
          </w:p>
        </w:tc>
        <w:tc>
          <w:tcPr>
            <w:tcW w:w="423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03D92D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研发管理规范培训</w:t>
            </w:r>
          </w:p>
        </w:tc>
      </w:tr>
      <w:tr w14:paraId="01183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0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80261B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质量部</w:t>
            </w:r>
          </w:p>
        </w:tc>
        <w:tc>
          <w:tcPr>
            <w:tcW w:w="257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2DAAB0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1200</w:t>
            </w:r>
          </w:p>
        </w:tc>
        <w:tc>
          <w:tcPr>
            <w:tcW w:w="423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20CC9D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质量管理培训</w:t>
            </w:r>
          </w:p>
        </w:tc>
      </w:tr>
      <w:tr w14:paraId="35941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0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095BA9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人力部</w:t>
            </w:r>
          </w:p>
        </w:tc>
        <w:tc>
          <w:tcPr>
            <w:tcW w:w="257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BBD968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500</w:t>
            </w:r>
          </w:p>
        </w:tc>
        <w:tc>
          <w:tcPr>
            <w:tcW w:w="423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56741F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新员工入职培训</w:t>
            </w:r>
          </w:p>
        </w:tc>
      </w:tr>
      <w:tr w14:paraId="01016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0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618749D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22"/>
                <w:szCs w:val="22"/>
                <w:lang w:val="en-US" w:eastAsia="zh-CN"/>
              </w:rPr>
            </w:pPr>
            <w:r>
              <w:rPr>
                <w:rFonts w:hint="eastAsia" w:ascii="Segoe UI" w:hAnsi="Segoe UI" w:eastAsia="Segoe UI" w:cs="Segoe UI"/>
                <w:i w:val="0"/>
                <w:iCs w:val="0"/>
                <w:caps w:val="0"/>
                <w:snapToGrid w:val="0"/>
                <w:color w:val="000000"/>
                <w:spacing w:val="0"/>
                <w:kern w:val="0"/>
                <w:sz w:val="22"/>
                <w:szCs w:val="22"/>
                <w:lang w:val="en-US" w:eastAsia="zh-CN"/>
              </w:rPr>
              <w:t>备件库</w:t>
            </w:r>
          </w:p>
        </w:tc>
        <w:tc>
          <w:tcPr>
            <w:tcW w:w="2576"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6515B6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22"/>
                <w:szCs w:val="22"/>
                <w:lang w:val="en-US" w:eastAsia="zh-CN"/>
              </w:rPr>
            </w:pPr>
            <w:r>
              <w:rPr>
                <w:rFonts w:hint="eastAsia" w:ascii="Segoe UI" w:hAnsi="Segoe UI" w:eastAsia="Segoe UI" w:cs="Segoe UI"/>
                <w:i w:val="0"/>
                <w:iCs w:val="0"/>
                <w:caps w:val="0"/>
                <w:snapToGrid w:val="0"/>
                <w:color w:val="000000"/>
                <w:spacing w:val="0"/>
                <w:kern w:val="0"/>
                <w:sz w:val="22"/>
                <w:szCs w:val="22"/>
                <w:lang w:val="en-US" w:eastAsia="zh-CN"/>
              </w:rPr>
              <w:t>500</w:t>
            </w:r>
          </w:p>
        </w:tc>
        <w:tc>
          <w:tcPr>
            <w:tcW w:w="4237"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34DFC54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22"/>
                <w:szCs w:val="22"/>
                <w:lang w:val="en-US" w:eastAsia="zh-CN"/>
              </w:rPr>
            </w:pPr>
            <w:r>
              <w:rPr>
                <w:rFonts w:hint="eastAsia" w:ascii="Segoe UI" w:hAnsi="Segoe UI" w:eastAsia="Segoe UI" w:cs="Segoe UI"/>
                <w:i w:val="0"/>
                <w:iCs w:val="0"/>
                <w:caps w:val="0"/>
                <w:snapToGrid w:val="0"/>
                <w:color w:val="000000"/>
                <w:spacing w:val="0"/>
                <w:kern w:val="0"/>
                <w:sz w:val="22"/>
                <w:szCs w:val="22"/>
                <w:lang w:val="en-US" w:eastAsia="zh-CN"/>
              </w:rPr>
              <w:t>备件管理培训</w:t>
            </w:r>
          </w:p>
        </w:tc>
      </w:tr>
      <w:tr w14:paraId="33CB0E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09"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601F314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总计</w:t>
            </w:r>
          </w:p>
        </w:tc>
        <w:tc>
          <w:tcPr>
            <w:tcW w:w="2576"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7A99E46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Style w:val="26"/>
                <w:rFonts w:hint="default" w:ascii="Segoe UI" w:hAnsi="Segoe UI" w:eastAsia="Segoe UI" w:cs="Segoe UI"/>
                <w:b/>
                <w:bCs/>
                <w:i w:val="0"/>
                <w:iCs w:val="0"/>
                <w:caps w:val="0"/>
                <w:snapToGrid w:val="0"/>
                <w:color w:val="000000"/>
                <w:spacing w:val="0"/>
                <w:kern w:val="0"/>
                <w:sz w:val="22"/>
                <w:szCs w:val="22"/>
                <w:lang w:val="en-US" w:eastAsia="zh-CN"/>
              </w:rPr>
              <w:t>21700</w:t>
            </w:r>
          </w:p>
        </w:tc>
        <w:tc>
          <w:tcPr>
            <w:tcW w:w="4237"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13EA95B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ascii="Segoe UI" w:hAnsi="Segoe UI" w:eastAsia="Segoe UI" w:cs="Segoe UI"/>
                <w:b/>
                <w:i w:val="0"/>
                <w:iCs w:val="0"/>
                <w:caps w:val="0"/>
                <w:color w:val="0F1115"/>
                <w:spacing w:val="0"/>
                <w:sz w:val="22"/>
                <w:szCs w:val="22"/>
              </w:rPr>
            </w:pPr>
          </w:p>
        </w:tc>
      </w:tr>
    </w:tbl>
    <w:p w14:paraId="28C9095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KPI指标：人员培训计划达成率</w:t>
      </w:r>
    </w:p>
    <w:p w14:paraId="5757F0C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 xml:space="preserve">人员培训计划达成率是反映年度培训计划执行情况的量化指标，其计算公式为：人员培训计划达成率 = </w:t>
      </w:r>
      <w:r>
        <w:rPr>
          <w:rFonts w:hint="default"/>
          <w:lang w:val="en-US" w:eastAsia="zh-CN"/>
        </w:rPr>
        <w:t>（实际培训完成课程数/计划培训课程数）</w:t>
      </w:r>
      <w:r>
        <w:rPr>
          <w:rFonts w:hint="eastAsia"/>
          <w:lang w:val="en-US" w:eastAsia="zh-CN"/>
        </w:rPr>
        <w:t xml:space="preserve"> × 100%。目标值为 ≥ 90%，按季度进行考核，责任部门为人力部。</w:t>
      </w:r>
    </w:p>
    <w:p w14:paraId="07D29F58">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0" w:name="_Toc20530"/>
      <w:r>
        <w:rPr>
          <w:rFonts w:hint="eastAsia"/>
          <w:lang w:val="en-US" w:eastAsia="zh-CN"/>
        </w:rPr>
        <w:t>人员备份计划</w:t>
      </w:r>
      <w:bookmarkEnd w:id="20"/>
    </w:p>
    <w:p w14:paraId="03E1A83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ascii="Segoe UI" w:hAnsi="Segoe UI" w:eastAsia="Segoe UI" w:cs="Segoe UI"/>
          <w:i w:val="0"/>
          <w:iCs w:val="0"/>
          <w:caps w:val="0"/>
          <w:color w:val="0F1115"/>
          <w:spacing w:val="0"/>
          <w:sz w:val="24"/>
          <w:szCs w:val="24"/>
          <w:shd w:val="clear" w:color="auto" w:fill="FFFFFF"/>
        </w:rPr>
      </w:pPr>
      <w:r>
        <w:rPr>
          <w:rFonts w:ascii="Segoe UI" w:hAnsi="Segoe UI" w:eastAsia="Segoe UI" w:cs="Segoe UI"/>
          <w:i w:val="0"/>
          <w:iCs w:val="0"/>
          <w:caps w:val="0"/>
          <w:color w:val="0F1115"/>
          <w:spacing w:val="0"/>
          <w:sz w:val="24"/>
          <w:szCs w:val="24"/>
          <w:shd w:val="clear" w:color="auto" w:fill="FFFFFF"/>
        </w:rPr>
        <w:t>按照《人员备份管理制度》要求，对关键岗位进行备份管理，确保关键岗位人员因各种原因无法履职时能够迅速接替，保障业务连续性。</w:t>
      </w:r>
    </w:p>
    <w:p w14:paraId="095FB686">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21" w:name="_Toc4747"/>
      <w:r>
        <w:rPr>
          <w:rFonts w:hint="eastAsia"/>
          <w:lang w:val="en-US" w:eastAsia="zh-CN"/>
        </w:rPr>
        <w:t xml:space="preserve"> 2026年度人员关键岗位备份计划表</w:t>
      </w:r>
      <w:bookmarkEnd w:id="21"/>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67"/>
        <w:gridCol w:w="2032"/>
        <w:gridCol w:w="1810"/>
        <w:gridCol w:w="1502"/>
        <w:gridCol w:w="1811"/>
      </w:tblGrid>
      <w:tr w14:paraId="091C8F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0" w:hRule="atLeast"/>
          <w:tblHeader/>
          <w:jc w:val="center"/>
        </w:trPr>
        <w:tc>
          <w:tcPr>
            <w:tcW w:w="1367"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495A6CA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部门</w:t>
            </w:r>
          </w:p>
        </w:tc>
        <w:tc>
          <w:tcPr>
            <w:tcW w:w="203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3758162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A岗位</w:t>
            </w:r>
          </w:p>
        </w:tc>
        <w:tc>
          <w:tcPr>
            <w:tcW w:w="1810"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432D6D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B岗</w:t>
            </w:r>
          </w:p>
        </w:tc>
        <w:tc>
          <w:tcPr>
            <w:tcW w:w="150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10D4AE5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备份要求</w:t>
            </w:r>
          </w:p>
        </w:tc>
        <w:tc>
          <w:tcPr>
            <w:tcW w:w="1811"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5583D34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计划完成时间</w:t>
            </w:r>
          </w:p>
        </w:tc>
      </w:tr>
      <w:tr w14:paraId="1F9DC6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4AFC17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c>
          <w:tcPr>
            <w:tcW w:w="20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43C19F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运维部经理</w:t>
            </w:r>
          </w:p>
        </w:tc>
        <w:tc>
          <w:tcPr>
            <w:tcW w:w="181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2C90EF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运维项目经理</w:t>
            </w:r>
          </w:p>
        </w:tc>
        <w:tc>
          <w:tcPr>
            <w:tcW w:w="150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03DFC8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A/B岗轮岗</w:t>
            </w:r>
          </w:p>
        </w:tc>
        <w:tc>
          <w:tcPr>
            <w:tcW w:w="18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BE6A5A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2026年3月</w:t>
            </w:r>
          </w:p>
        </w:tc>
      </w:tr>
      <w:tr w14:paraId="02944F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308CEE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w:t>
            </w:r>
          </w:p>
        </w:tc>
        <w:tc>
          <w:tcPr>
            <w:tcW w:w="20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03F954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研发部经理</w:t>
            </w:r>
          </w:p>
        </w:tc>
        <w:tc>
          <w:tcPr>
            <w:tcW w:w="181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B3B7EA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研发工程师</w:t>
            </w:r>
          </w:p>
        </w:tc>
        <w:tc>
          <w:tcPr>
            <w:tcW w:w="150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49F4E2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A/B岗轮岗</w:t>
            </w:r>
          </w:p>
        </w:tc>
        <w:tc>
          <w:tcPr>
            <w:tcW w:w="18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2E1C9B8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2026年4月</w:t>
            </w:r>
          </w:p>
        </w:tc>
      </w:tr>
      <w:tr w14:paraId="03F390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7"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5962B3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质量部</w:t>
            </w:r>
          </w:p>
        </w:tc>
        <w:tc>
          <w:tcPr>
            <w:tcW w:w="203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FB8928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质量部经理</w:t>
            </w:r>
          </w:p>
        </w:tc>
        <w:tc>
          <w:tcPr>
            <w:tcW w:w="181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90C6AA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质量部专员</w:t>
            </w:r>
          </w:p>
        </w:tc>
        <w:tc>
          <w:tcPr>
            <w:tcW w:w="150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BC7177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A/B岗轮岗</w:t>
            </w:r>
          </w:p>
        </w:tc>
        <w:tc>
          <w:tcPr>
            <w:tcW w:w="181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0E195A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2026年9月</w:t>
            </w:r>
          </w:p>
        </w:tc>
      </w:tr>
      <w:tr w14:paraId="47D591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367"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171D7CA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人力部</w:t>
            </w:r>
          </w:p>
        </w:tc>
        <w:tc>
          <w:tcPr>
            <w:tcW w:w="203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0A6DAD4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人力部经理</w:t>
            </w:r>
          </w:p>
        </w:tc>
        <w:tc>
          <w:tcPr>
            <w:tcW w:w="1810"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6644A98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人事专员</w:t>
            </w:r>
          </w:p>
        </w:tc>
        <w:tc>
          <w:tcPr>
            <w:tcW w:w="150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10EB7F5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A/B岗轮岗</w:t>
            </w:r>
          </w:p>
        </w:tc>
        <w:tc>
          <w:tcPr>
            <w:tcW w:w="1811"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06BC298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2026年10月</w:t>
            </w:r>
          </w:p>
        </w:tc>
      </w:tr>
    </w:tbl>
    <w:p w14:paraId="2F3D1E4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KPI指标：备份人员能力达标率</w:t>
      </w:r>
    </w:p>
    <w:p w14:paraId="68FFF20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备份人员能力达标率是反映关键岗位备份人员实际履职能力的量化指标，其计算公式为：备份人员能力达标率 = (能力验证合格的备份人员数 / 备份人员总数) × 100%。目标值为 ≥ 90%，按季度进行考核，责任部门为人力部。</w:t>
      </w:r>
    </w:p>
    <w:p w14:paraId="6DBC1E36">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2" w:name="_Toc10668"/>
      <w:r>
        <w:rPr>
          <w:rFonts w:hint="eastAsia"/>
          <w:lang w:val="en-US" w:eastAsia="zh-CN"/>
        </w:rPr>
        <w:t>人员绩效考核计划</w:t>
      </w:r>
      <w:bookmarkEnd w:id="22"/>
    </w:p>
    <w:p w14:paraId="1ED11E4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ascii="Segoe UI" w:hAnsi="Segoe UI" w:eastAsia="Segoe UI" w:cs="Segoe UI"/>
          <w:i w:val="0"/>
          <w:iCs w:val="0"/>
          <w:caps w:val="0"/>
          <w:color w:val="0F1115"/>
          <w:spacing w:val="0"/>
          <w:sz w:val="24"/>
          <w:szCs w:val="24"/>
          <w:shd w:val="clear" w:color="auto" w:fill="FFFFFF"/>
        </w:rPr>
      </w:pPr>
      <w:r>
        <w:rPr>
          <w:rFonts w:ascii="Segoe UI" w:hAnsi="Segoe UI" w:eastAsia="Segoe UI" w:cs="Segoe UI"/>
          <w:i w:val="0"/>
          <w:iCs w:val="0"/>
          <w:caps w:val="0"/>
          <w:color w:val="0F1115"/>
          <w:spacing w:val="0"/>
          <w:sz w:val="24"/>
          <w:szCs w:val="24"/>
          <w:shd w:val="clear" w:color="auto" w:fill="FFFFFF"/>
        </w:rPr>
        <w:t>按照《人员绩效考核及技能评价管理制度》，对全体员工进行绩效考核，确保考核公平、公正、及时完成，考核结果与薪酬调整、岗位晋升、培训需求识别等挂钩。</w:t>
      </w:r>
    </w:p>
    <w:p w14:paraId="270DCBF2">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23" w:name="_Toc24180"/>
      <w:r>
        <w:rPr>
          <w:rFonts w:hint="eastAsia"/>
          <w:lang w:val="en-US" w:eastAsia="zh-CN"/>
        </w:rPr>
        <w:t xml:space="preserve"> 2026年度人员绩效考核计划表</w:t>
      </w:r>
      <w:bookmarkEnd w:id="23"/>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83"/>
        <w:gridCol w:w="1952"/>
        <w:gridCol w:w="1679"/>
        <w:gridCol w:w="1827"/>
        <w:gridCol w:w="1681"/>
      </w:tblGrid>
      <w:tr w14:paraId="4B51E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383"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226A0BC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考核类型</w:t>
            </w:r>
          </w:p>
        </w:tc>
        <w:tc>
          <w:tcPr>
            <w:tcW w:w="1952"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4CA68A3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考核周期</w:t>
            </w:r>
          </w:p>
        </w:tc>
        <w:tc>
          <w:tcPr>
            <w:tcW w:w="1679"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5AA7A56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考核对象</w:t>
            </w:r>
          </w:p>
        </w:tc>
        <w:tc>
          <w:tcPr>
            <w:tcW w:w="1827"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483658F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考核时间</w:t>
            </w:r>
          </w:p>
        </w:tc>
        <w:tc>
          <w:tcPr>
            <w:tcW w:w="1681"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726339A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责任部门</w:t>
            </w:r>
          </w:p>
        </w:tc>
      </w:tr>
      <w:tr w14:paraId="6B493C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83"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53C3F0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月度考核</w:t>
            </w:r>
          </w:p>
        </w:tc>
        <w:tc>
          <w:tcPr>
            <w:tcW w:w="195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A5D956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每月一次</w:t>
            </w:r>
          </w:p>
        </w:tc>
        <w:tc>
          <w:tcPr>
            <w:tcW w:w="16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0D76B1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全体员工</w:t>
            </w:r>
          </w:p>
        </w:tc>
        <w:tc>
          <w:tcPr>
            <w:tcW w:w="18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453327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每月5日前</w:t>
            </w:r>
          </w:p>
        </w:tc>
        <w:tc>
          <w:tcPr>
            <w:tcW w:w="168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DC3893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人力部</w:t>
            </w:r>
          </w:p>
        </w:tc>
      </w:tr>
      <w:tr w14:paraId="37D8EA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83"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6F4D96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季度考核</w:t>
            </w:r>
          </w:p>
        </w:tc>
        <w:tc>
          <w:tcPr>
            <w:tcW w:w="1952"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0EDB2C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每季度一次</w:t>
            </w:r>
          </w:p>
        </w:tc>
        <w:tc>
          <w:tcPr>
            <w:tcW w:w="167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8A0278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全体员工</w:t>
            </w:r>
          </w:p>
        </w:tc>
        <w:tc>
          <w:tcPr>
            <w:tcW w:w="1827"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F99F2E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每季度末</w:t>
            </w:r>
          </w:p>
        </w:tc>
        <w:tc>
          <w:tcPr>
            <w:tcW w:w="168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0DB292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人力部</w:t>
            </w:r>
          </w:p>
        </w:tc>
      </w:tr>
      <w:tr w14:paraId="17D5DF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383"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47D06F3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年度考核</w:t>
            </w:r>
          </w:p>
        </w:tc>
        <w:tc>
          <w:tcPr>
            <w:tcW w:w="1952"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2C733BB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每年一次</w:t>
            </w:r>
          </w:p>
        </w:tc>
        <w:tc>
          <w:tcPr>
            <w:tcW w:w="1679"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1BD92B6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全体员工</w:t>
            </w:r>
          </w:p>
        </w:tc>
        <w:tc>
          <w:tcPr>
            <w:tcW w:w="1827"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708FE2E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12月</w:t>
            </w:r>
          </w:p>
        </w:tc>
        <w:tc>
          <w:tcPr>
            <w:tcW w:w="1681"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63A7B36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人力部</w:t>
            </w:r>
          </w:p>
        </w:tc>
      </w:tr>
    </w:tbl>
    <w:p w14:paraId="23097B3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pPr>
      <w:r>
        <w:rPr>
          <w:rFonts w:hint="eastAsia" w:ascii="Segoe UI" w:hAnsi="Segoe UI" w:eastAsia="Segoe UI" w:cs="Segoe UI"/>
          <w:i w:val="0"/>
          <w:iCs w:val="0"/>
          <w:caps w:val="0"/>
          <w:color w:val="0F1115"/>
          <w:spacing w:val="0"/>
          <w:sz w:val="24"/>
          <w:szCs w:val="24"/>
          <w:shd w:val="clear" w:color="auto" w:fill="FFFFFF"/>
          <w:lang w:val="en-US" w:eastAsia="zh-CN"/>
        </w:rPr>
        <w:t>KPI指标：绩效考核及时完成率</w:t>
      </w:r>
    </w:p>
    <w:p w14:paraId="2829BD9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Segoe UI" w:hAnsi="Segoe UI" w:eastAsia="Segoe UI" w:cs="Segoe UI"/>
          <w:i w:val="0"/>
          <w:iCs w:val="0"/>
          <w:caps w:val="0"/>
          <w:color w:val="0F1115"/>
          <w:spacing w:val="0"/>
          <w:sz w:val="24"/>
          <w:szCs w:val="24"/>
          <w:shd w:val="clear" w:color="auto" w:fill="FFFFFF"/>
          <w:lang w:val="en-US" w:eastAsia="zh-CN"/>
        </w:rPr>
      </w:pPr>
      <w:r>
        <w:rPr>
          <w:rFonts w:hint="eastAsia" w:ascii="Segoe UI" w:hAnsi="Segoe UI" w:eastAsia="Segoe UI" w:cs="Segoe UI"/>
          <w:i w:val="0"/>
          <w:iCs w:val="0"/>
          <w:caps w:val="0"/>
          <w:color w:val="0F1115"/>
          <w:spacing w:val="0"/>
          <w:sz w:val="24"/>
          <w:szCs w:val="24"/>
          <w:shd w:val="clear" w:color="auto" w:fill="FFFFFF"/>
          <w:lang w:val="en-US" w:eastAsia="zh-CN"/>
        </w:rPr>
        <w:t>绩效考核及时完成率是反映绩效考核工作按时完成情况的量化指标，其计算公式为：绩效考核及时完成率 = (按时完成绩效考核的员工数 / 应参加绩效考核总人数) × 100%。目标值为 100%，按月度进行考核，责任部门为人力部。</w:t>
      </w:r>
    </w:p>
    <w:p w14:paraId="1B512459">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4" w:name="_Toc5882"/>
      <w:r>
        <w:rPr>
          <w:rFonts w:hint="eastAsia"/>
          <w:lang w:val="en-US" w:eastAsia="zh-CN"/>
        </w:rPr>
        <w:t>人员能力评定计划</w:t>
      </w:r>
      <w:bookmarkEnd w:id="24"/>
    </w:p>
    <w:p w14:paraId="42FF76D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ascii="Segoe UI" w:hAnsi="Segoe UI" w:eastAsia="Segoe UI" w:cs="Segoe UI"/>
          <w:i w:val="0"/>
          <w:iCs w:val="0"/>
          <w:caps w:val="0"/>
          <w:color w:val="0F1115"/>
          <w:spacing w:val="0"/>
          <w:sz w:val="24"/>
          <w:szCs w:val="24"/>
          <w:shd w:val="clear" w:color="auto" w:fill="FFFFFF"/>
        </w:rPr>
      </w:pPr>
      <w:r>
        <w:rPr>
          <w:rFonts w:ascii="Segoe UI" w:hAnsi="Segoe UI" w:eastAsia="Segoe UI" w:cs="Segoe UI"/>
          <w:i w:val="0"/>
          <w:iCs w:val="0"/>
          <w:caps w:val="0"/>
          <w:color w:val="0F1115"/>
          <w:spacing w:val="0"/>
          <w:sz w:val="24"/>
          <w:szCs w:val="24"/>
          <w:shd w:val="clear" w:color="auto" w:fill="FFFFFF"/>
        </w:rPr>
        <w:t>为科学评估员工专业技能水平，识别能力短板，为岗位任职、晋升调薪、培训需求提供依据，特制定本技能评定计划。评定工作遵循“客观公正、注重实效、持续改进”的原则，采用笔试、实操、案例答辩相结合的方式进行。</w:t>
      </w:r>
    </w:p>
    <w:p w14:paraId="11D3AD5B">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25" w:name="_Toc18028"/>
      <w:r>
        <w:rPr>
          <w:rFonts w:hint="eastAsia"/>
          <w:lang w:val="en-US" w:eastAsia="zh-CN"/>
        </w:rPr>
        <w:t xml:space="preserve"> 2026年度人员能力评定周期表</w:t>
      </w:r>
      <w:bookmarkEnd w:id="25"/>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96"/>
        <w:gridCol w:w="1590"/>
        <w:gridCol w:w="1813"/>
        <w:gridCol w:w="1949"/>
        <w:gridCol w:w="1374"/>
      </w:tblGrid>
      <w:tr w14:paraId="304DE2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796"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0F296A4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评定类型</w:t>
            </w:r>
          </w:p>
        </w:tc>
        <w:tc>
          <w:tcPr>
            <w:tcW w:w="1590"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3E52616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评定周期</w:t>
            </w:r>
          </w:p>
        </w:tc>
        <w:tc>
          <w:tcPr>
            <w:tcW w:w="1813"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2C8E305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评定对象</w:t>
            </w:r>
          </w:p>
        </w:tc>
        <w:tc>
          <w:tcPr>
            <w:tcW w:w="1949"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20CDE56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评定时间</w:t>
            </w:r>
          </w:p>
        </w:tc>
        <w:tc>
          <w:tcPr>
            <w:tcW w:w="1373"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7BDDF24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责任部门</w:t>
            </w:r>
          </w:p>
        </w:tc>
      </w:tr>
      <w:tr w14:paraId="5028A1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9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520B504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半年度技能评定</w:t>
            </w:r>
          </w:p>
        </w:tc>
        <w:tc>
          <w:tcPr>
            <w:tcW w:w="159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7587C9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每半年一次</w:t>
            </w:r>
          </w:p>
        </w:tc>
        <w:tc>
          <w:tcPr>
            <w:tcW w:w="181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638C63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全体员工</w:t>
            </w:r>
          </w:p>
        </w:tc>
        <w:tc>
          <w:tcPr>
            <w:tcW w:w="194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530A41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每年6月、12月</w:t>
            </w:r>
          </w:p>
        </w:tc>
        <w:tc>
          <w:tcPr>
            <w:tcW w:w="137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5A25E6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lang w:val="en-US"/>
              </w:rPr>
            </w:pPr>
            <w:r>
              <w:rPr>
                <w:rFonts w:hint="eastAsia" w:ascii="Segoe UI" w:hAnsi="Segoe UI" w:eastAsia="Segoe UI" w:cs="Segoe UI"/>
                <w:i w:val="0"/>
                <w:iCs w:val="0"/>
                <w:caps w:val="0"/>
                <w:snapToGrid w:val="0"/>
                <w:color w:val="000000"/>
                <w:spacing w:val="0"/>
                <w:kern w:val="0"/>
                <w:sz w:val="22"/>
                <w:szCs w:val="22"/>
                <w:lang w:val="en-US" w:eastAsia="zh-CN"/>
              </w:rPr>
              <w:t>人力部</w:t>
            </w:r>
          </w:p>
        </w:tc>
      </w:tr>
      <w:tr w14:paraId="4FDA61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96"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8579E7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入职技能评定</w:t>
            </w:r>
          </w:p>
        </w:tc>
        <w:tc>
          <w:tcPr>
            <w:tcW w:w="159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04F7901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入职时</w:t>
            </w:r>
          </w:p>
        </w:tc>
        <w:tc>
          <w:tcPr>
            <w:tcW w:w="1813"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427AC4C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新员工</w:t>
            </w:r>
          </w:p>
        </w:tc>
        <w:tc>
          <w:tcPr>
            <w:tcW w:w="194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072929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试用期内</w:t>
            </w:r>
          </w:p>
        </w:tc>
        <w:tc>
          <w:tcPr>
            <w:tcW w:w="1373"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7AEAC1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运维部</w:t>
            </w:r>
          </w:p>
        </w:tc>
      </w:tr>
      <w:tr w14:paraId="10CFAE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796"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3CBF97D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晋升技能评定</w:t>
            </w:r>
          </w:p>
        </w:tc>
        <w:tc>
          <w:tcPr>
            <w:tcW w:w="1590"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26967A3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晋升前</w:t>
            </w:r>
          </w:p>
        </w:tc>
        <w:tc>
          <w:tcPr>
            <w:tcW w:w="1813"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23CE860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申请晋升人员</w:t>
            </w:r>
          </w:p>
        </w:tc>
        <w:tc>
          <w:tcPr>
            <w:tcW w:w="1949"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2392E7F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晋升评审前</w:t>
            </w:r>
          </w:p>
        </w:tc>
        <w:tc>
          <w:tcPr>
            <w:tcW w:w="1373"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31E7DFB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人力部</w:t>
            </w:r>
          </w:p>
        </w:tc>
      </w:tr>
    </w:tbl>
    <w:p w14:paraId="4AF77AE1">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8</w:t>
      </w:r>
      <w:r>
        <w:rPr>
          <w:rFonts w:hint="eastAsia"/>
          <w:lang w:val="en-US" w:eastAsia="zh-CN"/>
        </w:rPr>
        <w:fldChar w:fldCharType="end"/>
      </w:r>
      <w:bookmarkStart w:id="26" w:name="_Toc24466"/>
      <w:r>
        <w:rPr>
          <w:rFonts w:hint="eastAsia"/>
          <w:lang w:val="en-US" w:eastAsia="zh-CN"/>
        </w:rPr>
        <w:t xml:space="preserve"> 2026年度人员技能等级划分表</w:t>
      </w:r>
      <w:bookmarkEnd w:id="26"/>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18"/>
        <w:gridCol w:w="1330"/>
        <w:gridCol w:w="5674"/>
      </w:tblGrid>
      <w:tr w14:paraId="0A2EB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1518"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29AD397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技能等级</w:t>
            </w:r>
          </w:p>
        </w:tc>
        <w:tc>
          <w:tcPr>
            <w:tcW w:w="1330"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6861ACC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评估分数</w:t>
            </w:r>
          </w:p>
        </w:tc>
        <w:tc>
          <w:tcPr>
            <w:tcW w:w="5674"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01BBEDD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定义</w:t>
            </w:r>
          </w:p>
        </w:tc>
      </w:tr>
      <w:tr w14:paraId="78A4D9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1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2FA425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A级（专家）</w:t>
            </w:r>
          </w:p>
        </w:tc>
        <w:tc>
          <w:tcPr>
            <w:tcW w:w="133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ECC21E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90-100分</w:t>
            </w:r>
          </w:p>
        </w:tc>
        <w:tc>
          <w:tcPr>
            <w:tcW w:w="567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D0B7E3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能够引领技术方向，技术创新；技能优秀，可担任导师或备份人员</w:t>
            </w:r>
          </w:p>
        </w:tc>
      </w:tr>
      <w:tr w14:paraId="11597E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1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29B61F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B级（高级）</w:t>
            </w:r>
          </w:p>
        </w:tc>
        <w:tc>
          <w:tcPr>
            <w:tcW w:w="133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72E3D7F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80-89分</w:t>
            </w:r>
          </w:p>
        </w:tc>
        <w:tc>
          <w:tcPr>
            <w:tcW w:w="567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4FE1F45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能够解决疑难问题，指导他人；技能良好，可独立承担岗位工作</w:t>
            </w:r>
          </w:p>
        </w:tc>
      </w:tr>
      <w:tr w14:paraId="2EAFC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18"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2C6B4E1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C级（中级）</w:t>
            </w:r>
          </w:p>
        </w:tc>
        <w:tc>
          <w:tcPr>
            <w:tcW w:w="1330"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551676D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60-79分</w:t>
            </w:r>
          </w:p>
        </w:tc>
        <w:tc>
          <w:tcPr>
            <w:tcW w:w="5674"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CB9622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能够独立处理复杂问题；技能合格，需持续提升</w:t>
            </w:r>
          </w:p>
        </w:tc>
      </w:tr>
      <w:tr w14:paraId="67D81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18"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3F40226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D级（初级）</w:t>
            </w:r>
          </w:p>
        </w:tc>
        <w:tc>
          <w:tcPr>
            <w:tcW w:w="1330"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07E2322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60分以下</w:t>
            </w:r>
          </w:p>
        </w:tc>
        <w:tc>
          <w:tcPr>
            <w:tcW w:w="5674"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5155538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能够独立完成基础运维工作；技能不足，需参加专项培训</w:t>
            </w:r>
          </w:p>
        </w:tc>
      </w:tr>
    </w:tbl>
    <w:p w14:paraId="14EC22C5">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9</w:t>
      </w:r>
      <w:r>
        <w:rPr>
          <w:rFonts w:hint="eastAsia"/>
          <w:lang w:val="en-US" w:eastAsia="zh-CN"/>
        </w:rPr>
        <w:fldChar w:fldCharType="end"/>
      </w:r>
      <w:bookmarkStart w:id="27" w:name="_Toc326"/>
      <w:r>
        <w:rPr>
          <w:rFonts w:hint="eastAsia"/>
          <w:lang w:val="en-US" w:eastAsia="zh-CN"/>
        </w:rPr>
        <w:t xml:space="preserve"> 2026年度人员技能评定内容表</w:t>
      </w:r>
      <w:bookmarkEnd w:id="27"/>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19"/>
        <w:gridCol w:w="999"/>
        <w:gridCol w:w="3641"/>
        <w:gridCol w:w="2663"/>
      </w:tblGrid>
      <w:tr w14:paraId="72937E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219"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31879F9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评定维度</w:t>
            </w:r>
          </w:p>
        </w:tc>
        <w:tc>
          <w:tcPr>
            <w:tcW w:w="999"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333AD12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权重</w:t>
            </w:r>
          </w:p>
        </w:tc>
        <w:tc>
          <w:tcPr>
            <w:tcW w:w="3641" w:type="dxa"/>
            <w:tcBorders>
              <w:top w:val="single" w:color="auto" w:sz="12" w:space="0"/>
              <w:left w:val="single" w:color="auto" w:sz="4" w:space="0"/>
              <w:bottom w:val="nil"/>
              <w:right w:val="nil"/>
            </w:tcBorders>
            <w:shd w:val="clear" w:color="auto" w:fill="auto"/>
            <w:tcMar>
              <w:top w:w="150" w:type="dxa"/>
              <w:left w:w="240" w:type="dxa"/>
              <w:bottom w:w="150" w:type="dxa"/>
              <w:right w:w="240" w:type="dxa"/>
            </w:tcMar>
            <w:vAlign w:val="center"/>
          </w:tcPr>
          <w:p w14:paraId="0C109BF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评定内容</w:t>
            </w:r>
          </w:p>
        </w:tc>
        <w:tc>
          <w:tcPr>
            <w:tcW w:w="2662"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6B40B78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评定方式</w:t>
            </w:r>
          </w:p>
        </w:tc>
      </w:tr>
      <w:tr w14:paraId="051FD8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21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7A83F1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专业知识</w:t>
            </w:r>
          </w:p>
        </w:tc>
        <w:tc>
          <w:tcPr>
            <w:tcW w:w="99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580B64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30%</w:t>
            </w:r>
          </w:p>
        </w:tc>
        <w:tc>
          <w:tcPr>
            <w:tcW w:w="364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3A6618A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岗位相关技术理论知识</w:t>
            </w:r>
          </w:p>
        </w:tc>
        <w:tc>
          <w:tcPr>
            <w:tcW w:w="266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092C84E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笔试、面试</w:t>
            </w:r>
          </w:p>
        </w:tc>
      </w:tr>
      <w:tr w14:paraId="2C6413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21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164819C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操作技能</w:t>
            </w:r>
          </w:p>
        </w:tc>
        <w:tc>
          <w:tcPr>
            <w:tcW w:w="99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1FBDFC9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40%</w:t>
            </w:r>
          </w:p>
        </w:tc>
        <w:tc>
          <w:tcPr>
            <w:tcW w:w="364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1B869B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实际操作能力、故障处理能力</w:t>
            </w:r>
          </w:p>
        </w:tc>
        <w:tc>
          <w:tcPr>
            <w:tcW w:w="266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7B3F745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实操考核、案例演练</w:t>
            </w:r>
          </w:p>
        </w:tc>
      </w:tr>
      <w:tr w14:paraId="24CA5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219"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33F5022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问题解决</w:t>
            </w:r>
          </w:p>
        </w:tc>
        <w:tc>
          <w:tcPr>
            <w:tcW w:w="999"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23E8136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20%</w:t>
            </w:r>
          </w:p>
        </w:tc>
        <w:tc>
          <w:tcPr>
            <w:tcW w:w="3641" w:type="dxa"/>
            <w:tcBorders>
              <w:top w:val="single" w:color="auto" w:sz="4" w:space="0"/>
              <w:left w:val="single" w:color="auto" w:sz="4" w:space="0"/>
              <w:bottom w:val="nil"/>
              <w:right w:val="nil"/>
            </w:tcBorders>
            <w:shd w:val="clear" w:color="auto" w:fill="auto"/>
            <w:tcMar>
              <w:top w:w="150" w:type="dxa"/>
              <w:left w:w="240" w:type="dxa"/>
              <w:bottom w:w="150" w:type="dxa"/>
              <w:right w:w="240" w:type="dxa"/>
            </w:tcMar>
            <w:vAlign w:val="center"/>
          </w:tcPr>
          <w:p w14:paraId="6506696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复杂问题分析、解决能力</w:t>
            </w:r>
          </w:p>
        </w:tc>
        <w:tc>
          <w:tcPr>
            <w:tcW w:w="2662"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59CFE2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案例答辩、工作成果</w:t>
            </w:r>
          </w:p>
        </w:tc>
      </w:tr>
      <w:tr w14:paraId="527429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219"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518DD6A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知识贡献</w:t>
            </w:r>
          </w:p>
        </w:tc>
        <w:tc>
          <w:tcPr>
            <w:tcW w:w="999"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3F5D5B6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10%</w:t>
            </w:r>
          </w:p>
        </w:tc>
        <w:tc>
          <w:tcPr>
            <w:tcW w:w="3641" w:type="dxa"/>
            <w:tcBorders>
              <w:top w:val="single" w:color="auto" w:sz="4" w:space="0"/>
              <w:left w:val="single" w:color="auto" w:sz="4" w:space="0"/>
              <w:bottom w:val="single" w:color="auto" w:sz="12" w:space="0"/>
              <w:right w:val="nil"/>
            </w:tcBorders>
            <w:shd w:val="clear" w:color="auto" w:fill="auto"/>
            <w:tcMar>
              <w:top w:w="150" w:type="dxa"/>
              <w:left w:w="240" w:type="dxa"/>
              <w:bottom w:w="150" w:type="dxa"/>
              <w:right w:w="240" w:type="dxa"/>
            </w:tcMar>
            <w:vAlign w:val="center"/>
          </w:tcPr>
          <w:p w14:paraId="4346839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知识库贡献、培训授课</w:t>
            </w:r>
          </w:p>
        </w:tc>
        <w:tc>
          <w:tcPr>
            <w:tcW w:w="2662"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0E649CB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知识库记录、培训记录</w:t>
            </w:r>
          </w:p>
        </w:tc>
      </w:tr>
    </w:tbl>
    <w:p w14:paraId="6D6DFC5D">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10</w:t>
      </w:r>
      <w:r>
        <w:rPr>
          <w:rFonts w:hint="eastAsia"/>
          <w:lang w:val="en-US" w:eastAsia="zh-CN"/>
        </w:rPr>
        <w:fldChar w:fldCharType="end"/>
      </w:r>
      <w:bookmarkStart w:id="28" w:name="_Toc16703"/>
      <w:r>
        <w:rPr>
          <w:rFonts w:hint="eastAsia"/>
          <w:lang w:val="en-US" w:eastAsia="zh-CN"/>
        </w:rPr>
        <w:t xml:space="preserve"> 2026年度人员技能评定结果应用表</w:t>
      </w:r>
      <w:bookmarkEnd w:id="28"/>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81"/>
        <w:gridCol w:w="6241"/>
      </w:tblGrid>
      <w:tr w14:paraId="5A749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2281" w:type="dxa"/>
            <w:tcBorders>
              <w:top w:val="single" w:color="auto" w:sz="12" w:space="0"/>
              <w:left w:val="single" w:color="auto" w:sz="12" w:space="0"/>
              <w:bottom w:val="nil"/>
              <w:right w:val="nil"/>
            </w:tcBorders>
            <w:shd w:val="clear" w:color="auto" w:fill="auto"/>
            <w:tcMar>
              <w:top w:w="150" w:type="dxa"/>
              <w:left w:w="-1" w:type="dxa"/>
              <w:bottom w:w="150" w:type="dxa"/>
              <w:right w:w="240" w:type="dxa"/>
            </w:tcMar>
            <w:vAlign w:val="center"/>
          </w:tcPr>
          <w:p w14:paraId="7775C14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应用方向</w:t>
            </w:r>
          </w:p>
        </w:tc>
        <w:tc>
          <w:tcPr>
            <w:tcW w:w="6241" w:type="dxa"/>
            <w:tcBorders>
              <w:top w:val="single" w:color="auto" w:sz="12" w:space="0"/>
              <w:left w:val="single" w:color="auto" w:sz="4" w:space="0"/>
              <w:bottom w:val="nil"/>
              <w:right w:val="single" w:color="auto" w:sz="12" w:space="0"/>
            </w:tcBorders>
            <w:shd w:val="clear" w:color="auto" w:fill="auto"/>
            <w:tcMar>
              <w:top w:w="150" w:type="dxa"/>
              <w:left w:w="240" w:type="dxa"/>
              <w:bottom w:w="150" w:type="dxa"/>
              <w:right w:w="240" w:type="dxa"/>
            </w:tcMar>
            <w:vAlign w:val="center"/>
          </w:tcPr>
          <w:p w14:paraId="226CE4A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lang w:val="en-US" w:eastAsia="zh-CN"/>
              </w:rPr>
              <w:t>具体方式</w:t>
            </w:r>
          </w:p>
        </w:tc>
      </w:tr>
      <w:tr w14:paraId="01B466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28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5E4D8F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岗位任职资格</w:t>
            </w:r>
          </w:p>
        </w:tc>
        <w:tc>
          <w:tcPr>
            <w:tcW w:w="624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159F0BA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A/B级可担任关键岗位，C/D级需持续提升</w:t>
            </w:r>
          </w:p>
        </w:tc>
      </w:tr>
      <w:tr w14:paraId="07119D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28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458AD79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绩效奖金调节</w:t>
            </w:r>
          </w:p>
        </w:tc>
        <w:tc>
          <w:tcPr>
            <w:tcW w:w="624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6C11310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技能等级与绩效奖金系数挂钩</w:t>
            </w:r>
          </w:p>
        </w:tc>
      </w:tr>
      <w:tr w14:paraId="232D0C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281" w:type="dxa"/>
            <w:tcBorders>
              <w:top w:val="single" w:color="auto" w:sz="4" w:space="0"/>
              <w:left w:val="single" w:color="auto" w:sz="12" w:space="0"/>
              <w:bottom w:val="nil"/>
              <w:right w:val="nil"/>
            </w:tcBorders>
            <w:shd w:val="clear" w:color="auto" w:fill="auto"/>
            <w:tcMar>
              <w:top w:w="150" w:type="dxa"/>
              <w:left w:w="-1" w:type="dxa"/>
              <w:bottom w:w="150" w:type="dxa"/>
              <w:right w:w="240" w:type="dxa"/>
            </w:tcMar>
            <w:vAlign w:val="center"/>
          </w:tcPr>
          <w:p w14:paraId="7C5BD2A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培训需求识别</w:t>
            </w:r>
          </w:p>
        </w:tc>
        <w:tc>
          <w:tcPr>
            <w:tcW w:w="6241" w:type="dxa"/>
            <w:tcBorders>
              <w:top w:val="single" w:color="auto" w:sz="4" w:space="0"/>
              <w:left w:val="single" w:color="auto" w:sz="4" w:space="0"/>
              <w:bottom w:val="nil"/>
              <w:right w:val="single" w:color="auto" w:sz="12" w:space="0"/>
            </w:tcBorders>
            <w:shd w:val="clear" w:color="auto" w:fill="auto"/>
            <w:tcMar>
              <w:top w:w="150" w:type="dxa"/>
              <w:left w:w="240" w:type="dxa"/>
              <w:bottom w:w="150" w:type="dxa"/>
              <w:right w:w="-1" w:type="dxa"/>
            </w:tcMar>
            <w:vAlign w:val="center"/>
          </w:tcPr>
          <w:p w14:paraId="5D161E9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D级人员需参加专项培训</w:t>
            </w:r>
          </w:p>
        </w:tc>
      </w:tr>
      <w:tr w14:paraId="5BC1CE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281" w:type="dxa"/>
            <w:tcBorders>
              <w:top w:val="single" w:color="auto" w:sz="4" w:space="0"/>
              <w:left w:val="single" w:color="auto" w:sz="12" w:space="0"/>
              <w:bottom w:val="single" w:color="auto" w:sz="12" w:space="0"/>
              <w:right w:val="nil"/>
            </w:tcBorders>
            <w:shd w:val="clear" w:color="auto" w:fill="auto"/>
            <w:tcMar>
              <w:top w:w="150" w:type="dxa"/>
              <w:left w:w="-1" w:type="dxa"/>
              <w:bottom w:w="150" w:type="dxa"/>
              <w:right w:w="240" w:type="dxa"/>
            </w:tcMar>
            <w:vAlign w:val="center"/>
          </w:tcPr>
          <w:p w14:paraId="6406169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备份人员选拔</w:t>
            </w:r>
          </w:p>
        </w:tc>
        <w:tc>
          <w:tcPr>
            <w:tcW w:w="6241" w:type="dxa"/>
            <w:tcBorders>
              <w:top w:val="single" w:color="auto" w:sz="4" w:space="0"/>
              <w:left w:val="single" w:color="auto" w:sz="4" w:space="0"/>
              <w:bottom w:val="single" w:color="auto" w:sz="12" w:space="0"/>
              <w:right w:val="single" w:color="auto" w:sz="12" w:space="0"/>
            </w:tcBorders>
            <w:shd w:val="clear" w:color="auto" w:fill="auto"/>
            <w:tcMar>
              <w:top w:w="150" w:type="dxa"/>
              <w:left w:w="240" w:type="dxa"/>
              <w:bottom w:w="150" w:type="dxa"/>
              <w:right w:w="-1" w:type="dxa"/>
            </w:tcMar>
            <w:vAlign w:val="center"/>
          </w:tcPr>
          <w:p w14:paraId="4A82942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lang w:val="en-US" w:eastAsia="zh-CN"/>
              </w:rPr>
              <w:t>A/B级人员优先作为关键岗位备份</w:t>
            </w:r>
          </w:p>
        </w:tc>
      </w:tr>
    </w:tbl>
    <w:p w14:paraId="253BA90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Segoe UI" w:hAnsi="Segoe UI" w:eastAsia="Segoe UI" w:cs="Segoe UI"/>
          <w:i w:val="0"/>
          <w:iCs w:val="0"/>
          <w:caps w:val="0"/>
          <w:color w:val="0F1115"/>
          <w:spacing w:val="0"/>
          <w:sz w:val="24"/>
          <w:szCs w:val="24"/>
          <w:shd w:val="clear" w:color="auto" w:fill="FFFFFF"/>
          <w:lang w:val="en-US" w:eastAsia="zh-CN"/>
        </w:rPr>
      </w:pPr>
      <w:r>
        <w:rPr>
          <w:rFonts w:hint="default" w:ascii="Segoe UI" w:hAnsi="Segoe UI" w:eastAsia="Segoe UI" w:cs="Segoe UI"/>
          <w:i w:val="0"/>
          <w:iCs w:val="0"/>
          <w:caps w:val="0"/>
          <w:color w:val="0F1115"/>
          <w:spacing w:val="0"/>
          <w:sz w:val="24"/>
          <w:szCs w:val="24"/>
          <w:shd w:val="clear" w:color="auto" w:fill="FFFFFF"/>
          <w:lang w:val="en-US" w:eastAsia="zh-CN"/>
        </w:rPr>
        <w:t>技能评价覆盖率是反映员工技能评定工作覆盖广度的量化指标，其计算公式为：技能评价覆盖率 = (实际参加技能评价的员工数 / 应参加技能评价员工总数) × 100%。目标值为 100%，按半年度进行考核（每年6月、12月），责任部门为</w:t>
      </w:r>
      <w:r>
        <w:rPr>
          <w:rFonts w:hint="eastAsia" w:ascii="Segoe UI" w:hAnsi="Segoe UI" w:eastAsia="Segoe UI" w:cs="Segoe UI"/>
          <w:i w:val="0"/>
          <w:iCs w:val="0"/>
          <w:caps w:val="0"/>
          <w:color w:val="0F1115"/>
          <w:spacing w:val="0"/>
          <w:sz w:val="24"/>
          <w:szCs w:val="24"/>
          <w:shd w:val="clear" w:color="auto" w:fill="FFFFFF"/>
          <w:lang w:val="en-US" w:eastAsia="zh-CN"/>
        </w:rPr>
        <w:t>人力部</w:t>
      </w:r>
      <w:r>
        <w:rPr>
          <w:rFonts w:hint="default" w:ascii="Segoe UI" w:hAnsi="Segoe UI" w:eastAsia="Segoe UI" w:cs="Segoe UI"/>
          <w:i w:val="0"/>
          <w:iCs w:val="0"/>
          <w:caps w:val="0"/>
          <w:color w:val="0F1115"/>
          <w:spacing w:val="0"/>
          <w:sz w:val="24"/>
          <w:szCs w:val="24"/>
          <w:shd w:val="clear" w:color="auto" w:fill="FFFFFF"/>
          <w:lang w:val="en-US" w:eastAsia="zh-CN"/>
        </w:rPr>
        <w:t>。新员工入职技能评定、晋升技能评定另行统计，不计入半年度覆盖率考核。</w:t>
      </w:r>
    </w:p>
    <w:p w14:paraId="79DF3310">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9" w:name="_Toc15625"/>
      <w:r>
        <w:rPr>
          <w:rFonts w:hint="eastAsia"/>
          <w:lang w:val="en-US" w:eastAsia="zh-CN"/>
        </w:rPr>
        <w:t>资源管理规划</w:t>
      </w:r>
      <w:bookmarkEnd w:id="29"/>
    </w:p>
    <w:p w14:paraId="649D137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为确保运维服务能力的持续提升，2026年公司将从运维工具、服务知识、服务台、备件库、最终软件库、服务数据六个方面加强资源管理，为运维服务提供坚实的资源保障。</w:t>
      </w:r>
    </w:p>
    <w:p w14:paraId="54AFFBFE">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12131"/>
      <w:r>
        <w:rPr>
          <w:rFonts w:hint="default"/>
          <w:lang w:val="en-US" w:eastAsia="zh-CN"/>
        </w:rPr>
        <w:t>运维工具管理</w:t>
      </w:r>
      <w:bookmarkEnd w:id="30"/>
    </w:p>
    <w:p w14:paraId="2020C8A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运维服务工具管理制度》，公司目前使用的运维工具主要包括iTop运维管理平台和哈哈哈哈哈运维监控平台。iTop平台集成了服务台、事件管理、问题管理、变更管理、配置管理、服务知识等功能模块，实现了运维流程的数字化管理；运维监控平台实现了对服务器、网络设备、数据库、应用性能等的全面监控。</w:t>
      </w:r>
    </w:p>
    <w:p w14:paraId="089057A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2026年运维工具管理的主要工作包括：研发部负责根据运维业务需求，持续优化监控平台功能，2026年重点完成数据库监控模块的研发，实现对MySQL、Redis等数据库的全面监控及慢SQL分析功能；运维部经理每年度组织一次运维工具使用效果评估，形成《运维工具</w:t>
      </w:r>
      <w:r>
        <w:rPr>
          <w:rFonts w:hint="eastAsia"/>
          <w:lang w:val="en-US" w:eastAsia="zh-CN"/>
        </w:rPr>
        <w:t>自评估</w:t>
      </w:r>
      <w:r>
        <w:rPr>
          <w:rFonts w:hint="default"/>
          <w:lang w:val="en-US" w:eastAsia="zh-CN"/>
        </w:rPr>
        <w:t>报告》，从工具覆盖度、使用效率、用户满意度等方面进行评估，识别改进点并推动优化；研发部负责编制和维护运维工具操作手册，确保操作人员熟练掌握工具使用方法，新工具上线或版本升级时，及时组织使用培训；通过工具使用数据的统计分析，评估工具对运维效率的实际提升效果，为工具优化和选型提供数据支撑。</w:t>
      </w:r>
    </w:p>
    <w:p w14:paraId="0874A12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KPI指标：运维工具评审次数</w:t>
      </w:r>
    </w:p>
    <w:p w14:paraId="4352B36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运维工具评审次数是反映运维工具使用效果定期评估执行情况的量化指标。</w:t>
      </w:r>
      <w:r>
        <w:rPr>
          <w:rFonts w:hint="eastAsia"/>
          <w:lang w:val="en-US" w:eastAsia="zh-CN"/>
        </w:rPr>
        <w:t>计算方式为：</w:t>
      </w:r>
      <w:r>
        <w:t>对运维工具使用效果的评审次数</w:t>
      </w:r>
      <w:r>
        <w:rPr>
          <w:rFonts w:hint="eastAsia"/>
          <w:lang w:eastAsia="zh-CN"/>
        </w:rPr>
        <w:t>。</w:t>
      </w:r>
      <w:r>
        <w:rPr>
          <w:rFonts w:hint="default"/>
          <w:lang w:val="en-US" w:eastAsia="zh-CN"/>
        </w:rPr>
        <w:t>目标值为 ≥ 1次，按年度进行考核，责任部门为运维部。</w:t>
      </w:r>
    </w:p>
    <w:p w14:paraId="257EF981">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24438"/>
      <w:r>
        <w:rPr>
          <w:rFonts w:hint="default"/>
          <w:lang w:val="en-US" w:eastAsia="zh-CN"/>
        </w:rPr>
        <w:t>服务知识管理</w:t>
      </w:r>
      <w:bookmarkEnd w:id="31"/>
    </w:p>
    <w:p w14:paraId="3F8032D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根据《运维服务服务知识管理制度》，公司服务知识由运维部主导管理，负责知识入库审批、知识质量监督与权限管理。</w:t>
      </w:r>
    </w:p>
    <w:p w14:paraId="366B26C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2026年服务知识管理的主要工作包括：建立知识的全生命周期管理机制，严格执行知识提交、审批、发布、更新、删除的标准化流程；将事件处理、问题分析中的典型解决方案录入服务知识库，形成“事件→问题→知识”的闭环管理，服务台在处理事件时可快速检索知识库，提高一线解决率；按照服务知识管理制度的激励措施，对积极贡献知识的员工给予积分奖励和年度评优倾斜，鼓励员工主动沉淀经验、分享知识；每年度组织一次服务知识使用培训，提高运维人员对知识库的使用熟练度，确保知识库得到充分利用。</w:t>
      </w:r>
    </w:p>
    <w:p w14:paraId="01EBF80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w:t>
      </w:r>
    </w:p>
    <w:p w14:paraId="607073C6">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新增知识条目</w:t>
      </w:r>
    </w:p>
    <w:p w14:paraId="7F7EEA7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新增知识条目是反映知识库内容更新和积累情况的量化指标。</w:t>
      </w:r>
      <w:r>
        <w:rPr>
          <w:rFonts w:hint="eastAsia"/>
          <w:lang w:val="en-US" w:eastAsia="zh-CN"/>
        </w:rPr>
        <w:t>计算方式为：</w:t>
      </w:r>
      <w:r>
        <w:rPr>
          <w:rFonts w:hint="default"/>
          <w:lang w:val="en-US" w:eastAsia="zh-CN"/>
        </w:rPr>
        <w:t>每月度知识库中新增有效知识条目数</w:t>
      </w:r>
      <w:r>
        <w:rPr>
          <w:rFonts w:hint="eastAsia"/>
          <w:lang w:val="en-US" w:eastAsia="zh-CN"/>
        </w:rPr>
        <w:t>。</w:t>
      </w:r>
      <w:r>
        <w:rPr>
          <w:rFonts w:hint="default"/>
          <w:lang w:val="en-US" w:eastAsia="zh-CN"/>
        </w:rPr>
        <w:t>目标值为 ≥ 5条，按月度进行考核，责任部门为运维部，。</w:t>
      </w:r>
    </w:p>
    <w:p w14:paraId="3E94527E">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服务知识使用率</w:t>
      </w:r>
    </w:p>
    <w:p w14:paraId="4501684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服务知识使用率是反映知识库被运维人员使用频率的量化指标，其计算公式为：服务知识使用率 = (使用</w:t>
      </w:r>
      <w:r>
        <w:rPr>
          <w:rFonts w:hint="eastAsia"/>
          <w:lang w:val="en-US" w:eastAsia="zh-CN"/>
        </w:rPr>
        <w:t>人数</w:t>
      </w:r>
      <w:r>
        <w:rPr>
          <w:rFonts w:hint="default"/>
          <w:lang w:val="en-US" w:eastAsia="zh-CN"/>
        </w:rPr>
        <w:t xml:space="preserve"> / 应</w:t>
      </w:r>
      <w:r>
        <w:rPr>
          <w:rFonts w:hint="eastAsia"/>
          <w:lang w:val="en-US" w:eastAsia="zh-CN"/>
        </w:rPr>
        <w:t>使用人数</w:t>
      </w:r>
      <w:r>
        <w:rPr>
          <w:rFonts w:hint="default"/>
          <w:lang w:val="en-US" w:eastAsia="zh-CN"/>
        </w:rPr>
        <w:t>) × 100%。目标值为 ≥ 80%，按季度进行考核，责任部门为运维部。</w:t>
      </w:r>
    </w:p>
    <w:p w14:paraId="68D3E5A3">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知识采纳率</w:t>
      </w:r>
    </w:p>
    <w:p w14:paraId="7EE88FF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知识采纳率是反映知识库内容质量和实用性的量化指标，其计算公式为：知识采纳率 = (采纳知识数 / 提交知识数) × 100%。目标值为 ≥ 70%，按季度进行考核，责任部门为运维部。</w:t>
      </w:r>
    </w:p>
    <w:p w14:paraId="1DA225F6">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2" w:name="_Toc23500"/>
      <w:r>
        <w:rPr>
          <w:rFonts w:hint="default"/>
          <w:lang w:val="en-US" w:eastAsia="zh-CN"/>
        </w:rPr>
        <w:t>服务台管理</w:t>
      </w:r>
      <w:bookmarkEnd w:id="32"/>
    </w:p>
    <w:p w14:paraId="3E91639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根据《运维服务服务台管理制度》，服务台是公司运维服务的统一入口，设立统一服务热线，提供7×24小时不间断服务。</w:t>
      </w:r>
    </w:p>
    <w:p w14:paraId="6B4A3DD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2026年服务台管理的主要工作包括：所有客户服务请求、故障报修、咨询投诉均通过服务台统一受理，杜绝客户直接联系现场工程师的情况，确保服务过程可记录、可追溯；严格按照“报障受理→分析判断→解决事件→工单关闭→录入服务知识→客户回访”的标准化流程执行，确保每个事件从受理到关闭的全过程闭环管理；每年度组织服务台专项培训，提升服务台人员的沟通技巧和问题判断能力；运维部经理定期填写《服务台服务质量考核表》，从响应及时性、服务态度、交付物质量三个维度进行考核，考核结果计入个人绩效；每月统计服务台请求关闭率、接通率、客户满意度等关键指标，分析服务台运行情况，发现异常及时改进。</w:t>
      </w:r>
    </w:p>
    <w:p w14:paraId="51BCCF3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w:t>
      </w:r>
      <w:r>
        <w:rPr>
          <w:rFonts w:hint="eastAsia"/>
          <w:lang w:val="en-US" w:eastAsia="zh-CN"/>
        </w:rPr>
        <w:t>：</w:t>
      </w:r>
    </w:p>
    <w:p w14:paraId="31D32C61">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服务台请求关闭率</w:t>
      </w:r>
    </w:p>
    <w:p w14:paraId="476B370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服务台请求关闭率是反映服务台事件处理能力的量化指标，其计算公式为：服务台请求关闭率 = (服务台请求关闭数量 / 服务记录服务请求数量) × 100%。目标值为 ≥ 95%，按月度进行考核，责任部门为运维部。</w:t>
      </w:r>
    </w:p>
    <w:p w14:paraId="6E011E81">
      <w:pPr>
        <w:pStyle w:val="3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服务台接通率</w:t>
      </w:r>
    </w:p>
    <w:p w14:paraId="737248E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服务台接通率是反映服务台电话服务可用性的量化指标，其计算公式为：服务台接通率 = (接通电话数 / 总来电数) × 100%。目标值为 ≥ 98%，按月度进行考核，责任部门为运维部。</w:t>
      </w:r>
    </w:p>
    <w:p w14:paraId="04FACF1E">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3" w:name="_Toc6983"/>
      <w:r>
        <w:rPr>
          <w:rFonts w:hint="default"/>
          <w:lang w:val="en-US" w:eastAsia="zh-CN"/>
        </w:rPr>
        <w:t>备件库管理</w:t>
      </w:r>
      <w:bookmarkEnd w:id="33"/>
    </w:p>
    <w:p w14:paraId="61DB32D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根据《运维服务备件库管理制度》，公司备件库由</w:t>
      </w:r>
      <w:r>
        <w:rPr>
          <w:rFonts w:hint="eastAsia"/>
          <w:lang w:val="en-US" w:eastAsia="zh-CN"/>
        </w:rPr>
        <w:t>备件库</w:t>
      </w:r>
      <w:r>
        <w:rPr>
          <w:rFonts w:hint="default"/>
          <w:lang w:val="en-US" w:eastAsia="zh-CN"/>
        </w:rPr>
        <w:t>负责管理，遵循“统一管理、集中调配”的原则。</w:t>
      </w:r>
    </w:p>
    <w:p w14:paraId="5A23F49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2026年备件库管理的主要工作包括：根据运维服务目录和SLA要求，制定备件储备规划，明确关键备件的安全库存数量，对于常用备件建立最低库存预警机制，低于安全库存时及时补库；所有备件入库前均需经过验收和功能性测试，确保备件质量合格，出库需凭审批单办理，确保账实相符，备件库专员每月对库存进行盘点，确保库存准确率；每月对库存备件按30%比例进行抽检，确保备件性能符合要求，对检测中发现问题的备件，及时送修或报废处理；根据SLA要求建立备件响应分级机制，确保在故障发生时能够快速调配备件。</w:t>
      </w:r>
    </w:p>
    <w:p w14:paraId="647B25B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w:t>
      </w:r>
    </w:p>
    <w:p w14:paraId="1EC5BBFC">
      <w:pPr>
        <w:pStyle w:val="3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备件可用率</w:t>
      </w:r>
    </w:p>
    <w:p w14:paraId="4C79ABD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备件可用率是反映库存备件质量状况的量化指标，其计算公式为：备件可用率 = (合格可用备件数量 / 总数量) × 100%。目标值为 ≥ 95%，按季度进行考核，责任部门为</w:t>
      </w:r>
      <w:r>
        <w:rPr>
          <w:rFonts w:hint="eastAsia"/>
          <w:lang w:val="en-US" w:eastAsia="zh-CN"/>
        </w:rPr>
        <w:t>运维部</w:t>
      </w:r>
      <w:r>
        <w:rPr>
          <w:rFonts w:hint="default"/>
          <w:lang w:val="en-US" w:eastAsia="zh-CN"/>
        </w:rPr>
        <w:t>。</w:t>
      </w:r>
    </w:p>
    <w:p w14:paraId="18381BF7">
      <w:pPr>
        <w:pStyle w:val="3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备件库存准确率</w:t>
      </w:r>
    </w:p>
    <w:p w14:paraId="0ADA22A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备件库存准确率是反映备件库存账实一致性的量化指标，其计算公式为：备件库存准确率 = (账实相符数量 / 盘点数量) × 100%。目标值为 100%，按月度进行考核，责任部门为</w:t>
      </w:r>
      <w:r>
        <w:rPr>
          <w:rFonts w:hint="eastAsia"/>
          <w:lang w:val="en-US" w:eastAsia="zh-CN"/>
        </w:rPr>
        <w:t>运维部</w:t>
      </w:r>
      <w:r>
        <w:rPr>
          <w:rFonts w:hint="default"/>
          <w:lang w:val="en-US" w:eastAsia="zh-CN"/>
        </w:rPr>
        <w:t>。</w:t>
      </w:r>
    </w:p>
    <w:p w14:paraId="61DED45E">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4" w:name="_Toc28879"/>
      <w:r>
        <w:rPr>
          <w:rFonts w:hint="default"/>
          <w:lang w:val="en-US" w:eastAsia="zh-CN"/>
        </w:rPr>
        <w:t>最终软件库管理</w:t>
      </w:r>
      <w:bookmarkEnd w:id="34"/>
    </w:p>
    <w:p w14:paraId="6B2AC24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根据《运维服务最终软件库管理制度》，公司软件库由研发部负责管理，对运维过程中使用的各类软件进行统一存储、版本管理和授权管控。</w:t>
      </w:r>
    </w:p>
    <w:p w14:paraId="17B3C2E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2026年最终软件库管理的主要工作包括：所有软件入库前需经过安全检测和完整性验证，确保软件来源可靠、内容完整，软件安装包、授权文件、技术文档统一归档存放；建立软件版本基线，对正式版本、测试版本进行分类管理，版本更新需经过测试验证后方可入库，确保生产环境使用的软件版本与软件库保持一致；所有商业软件授权在软件库中统一登记，按照授权数量和使用范围进行管控，每季度对授权使用情况进行审计，确保软件使用合规；每月对软件库进行盘点，核对软件资产清单，确保软件入库完整率达标。</w:t>
      </w:r>
    </w:p>
    <w:p w14:paraId="46A24A9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KPI指标：软件入库完整率</w:t>
      </w:r>
    </w:p>
    <w:p w14:paraId="4F5EE44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软件入库完整率是反映软件资产登记完整性的量化指标，其计算公式为：软件入库完整率 = (已登记入库的软件数 / 应登记入库的软件总数) × 100%。目标值为 100%，按半年度进行考核，责任部门为研发部。</w:t>
      </w:r>
    </w:p>
    <w:p w14:paraId="4EE41225">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5" w:name="_Toc24577"/>
      <w:r>
        <w:rPr>
          <w:rFonts w:hint="default"/>
          <w:lang w:val="en-US" w:eastAsia="zh-CN"/>
        </w:rPr>
        <w:t>服务数据管理</w:t>
      </w:r>
      <w:bookmarkEnd w:id="35"/>
    </w:p>
    <w:p w14:paraId="2BEB053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根据《运维服务服务数据管理制度》，公司服务数据由运维部主导管理，覆盖服务数据的分类、收集、备份、加密、恢复的全生命周期。</w:t>
      </w:r>
    </w:p>
    <w:p w14:paraId="04CC217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2026年服务数据管理的主要工作包括：运维工单数据每日全量备份，配置管理数据每周全量备份，监控数据每月增量备份，备份数据本地和云端双存储，确保数据安全；每半年组织一次数据恢复试验，验证备份数据的可用性和完整性，确保在数据丢失时能够快速恢复；对客户敏感数据、系统核心配置等高密级数据实施存储加密和传输加密，使用经国家密码管理部门认可的加密产品，确保数据安全；定期对运维工单数据、监控数据等进行分析，识别服务趋势和潜在问题，为服务改进提供数据支撑。</w:t>
      </w:r>
    </w:p>
    <w:p w14:paraId="2E9CC34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w:t>
      </w:r>
    </w:p>
    <w:p w14:paraId="58BF41E2">
      <w:pPr>
        <w:pStyle w:val="3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数据备份成功率</w:t>
      </w:r>
    </w:p>
    <w:p w14:paraId="4D311FA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数据备份成功率是反映数据备份执行有效性的量化指标，其计算公式为：数据备份成功率 = (成功备份次数 / 计划备份次数) × 100%。目标值为 ≥ 99%，按月度进行考核，责任部门为</w:t>
      </w:r>
      <w:r>
        <w:rPr>
          <w:rFonts w:hint="eastAsia"/>
          <w:lang w:val="en-US" w:eastAsia="zh-CN"/>
        </w:rPr>
        <w:t>研发部</w:t>
      </w:r>
      <w:r>
        <w:rPr>
          <w:rFonts w:hint="default"/>
          <w:lang w:val="en-US" w:eastAsia="zh-CN"/>
        </w:rPr>
        <w:t>。</w:t>
      </w:r>
    </w:p>
    <w:p w14:paraId="4D6CAF67">
      <w:pPr>
        <w:pStyle w:val="3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数据恢复成功率</w:t>
      </w:r>
    </w:p>
    <w:p w14:paraId="38E424E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default"/>
          <w:lang w:val="en-US" w:eastAsia="zh-CN"/>
        </w:rPr>
        <w:t>数据恢复成功率是反映备份数据可用性的量化指标，其计算公式为：数据恢复成功率 = (成功恢复次数 / 恢复</w:t>
      </w:r>
      <w:r>
        <w:rPr>
          <w:rFonts w:hint="eastAsia"/>
          <w:lang w:val="en-US" w:eastAsia="zh-CN"/>
        </w:rPr>
        <w:t>演练</w:t>
      </w:r>
      <w:r>
        <w:rPr>
          <w:rFonts w:hint="default"/>
          <w:lang w:val="en-US" w:eastAsia="zh-CN"/>
        </w:rPr>
        <w:t>次数) × 100%。目标值为 ≥ 95%，按半年度进行考核。</w:t>
      </w:r>
      <w:r>
        <w:rPr>
          <w:rFonts w:hint="eastAsia"/>
          <w:lang w:val="en-US" w:eastAsia="zh-CN"/>
        </w:rPr>
        <w:t>责任部门为研发部。</w:t>
      </w:r>
    </w:p>
    <w:p w14:paraId="4004A460">
      <w:pPr>
        <w:pStyle w:val="32"/>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数据完整性</w:t>
      </w:r>
    </w:p>
    <w:p w14:paraId="6EC16D8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数据完整性是反映备份数据可恢复后数据完整可用的量化指标，其计算公式为：数据完整性 = (抽样校验通过的数据记录数</w:t>
      </w:r>
      <w:r>
        <w:rPr>
          <w:rFonts w:hint="eastAsia"/>
          <w:lang w:val="en-US" w:eastAsia="zh-CN"/>
        </w:rPr>
        <w:t xml:space="preserve"> / </w:t>
      </w:r>
      <w:r>
        <w:rPr>
          <w:rFonts w:hint="default"/>
          <w:lang w:val="en-US" w:eastAsia="zh-CN"/>
        </w:rPr>
        <w:t>抽样校验的总数据记录数) × 100%</w:t>
      </w:r>
      <w:r>
        <w:rPr>
          <w:rFonts w:hint="eastAsia"/>
          <w:lang w:val="en-US" w:eastAsia="zh-CN"/>
        </w:rPr>
        <w:t>。</w:t>
      </w:r>
      <w:r>
        <w:rPr>
          <w:rFonts w:hint="default"/>
          <w:lang w:val="en-US" w:eastAsia="zh-CN"/>
        </w:rPr>
        <w:t>目标值为 ≥ 99%，按</w:t>
      </w:r>
      <w:r>
        <w:rPr>
          <w:rFonts w:hint="eastAsia"/>
          <w:lang w:val="en-US" w:eastAsia="zh-CN"/>
        </w:rPr>
        <w:t>季</w:t>
      </w:r>
      <w:r>
        <w:rPr>
          <w:rFonts w:hint="default"/>
          <w:lang w:val="en-US" w:eastAsia="zh-CN"/>
        </w:rPr>
        <w:t>度进行考核。责任部门为</w:t>
      </w:r>
      <w:r>
        <w:rPr>
          <w:rFonts w:hint="eastAsia"/>
          <w:lang w:val="en-US" w:eastAsia="zh-CN"/>
        </w:rPr>
        <w:t>质量部</w:t>
      </w:r>
      <w:r>
        <w:rPr>
          <w:rFonts w:hint="default"/>
          <w:lang w:val="en-US" w:eastAsia="zh-CN"/>
        </w:rPr>
        <w:t>。</w:t>
      </w:r>
    </w:p>
    <w:p w14:paraId="5EACCD3C">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6" w:name="_Toc32763"/>
      <w:r>
        <w:rPr>
          <w:rFonts w:hint="eastAsia"/>
          <w:lang w:val="en-US" w:eastAsia="zh-CN"/>
        </w:rPr>
        <w:t>技术研发规划</w:t>
      </w:r>
      <w:bookmarkEnd w:id="36"/>
    </w:p>
    <w:p w14:paraId="6EF058BC">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7" w:name="_Toc24716"/>
      <w:r>
        <w:rPr>
          <w:rFonts w:hint="default"/>
          <w:lang w:val="en-US" w:eastAsia="zh-CN"/>
        </w:rPr>
        <w:t>研发现状</w:t>
      </w:r>
      <w:bookmarkEnd w:id="37"/>
    </w:p>
    <w:p w14:paraId="3468B73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公司研发部已建立研发管理制度，配备研发团队及开发测试环境。目前自研的运维监控平台已应用于</w:t>
      </w:r>
      <w:r>
        <w:rPr>
          <w:rFonts w:hint="eastAsia"/>
          <w:lang w:val="en-US" w:eastAsia="zh-CN"/>
        </w:rPr>
        <w:t>公司运维项目</w:t>
      </w:r>
      <w:r>
        <w:rPr>
          <w:rFonts w:hint="default"/>
          <w:lang w:val="en-US" w:eastAsia="zh-CN"/>
        </w:rPr>
        <w:t>，实现了对服务器、网络设备、前端设备等基础环境的监控。</w:t>
      </w:r>
    </w:p>
    <w:p w14:paraId="1A3EB67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但在数据库监控方面存在明显短板：无法实时监控数据库关键性能指标，慢查询定位困难，缺乏索引优化建议，Redis监控缺失。随着运维项目增加，客户对数据库监控的需求日益迫切，亟需补齐这一能力短板。</w:t>
      </w:r>
    </w:p>
    <w:p w14:paraId="0CA13A00">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8" w:name="_Toc8655"/>
      <w:r>
        <w:rPr>
          <w:rFonts w:hint="default"/>
          <w:lang w:val="en-US" w:eastAsia="zh-CN"/>
        </w:rPr>
        <w:t>研发目标</w:t>
      </w:r>
      <w:bookmarkEnd w:id="38"/>
    </w:p>
    <w:p w14:paraId="697403E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2026年技术研发聚焦于数据库监控能力提升，总体目标为：完成数据库监控模块研发，实现对MySQL、Redis等主流数据库的全面监控，具备慢SQL采集分析和索引优化建议能力，并同步完成相关运维手册编写和新技术研究。</w:t>
      </w:r>
    </w:p>
    <w:p w14:paraId="33FAA974">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9" w:name="_Toc2006"/>
      <w:r>
        <w:rPr>
          <w:rFonts w:hint="eastAsia"/>
          <w:lang w:val="en-US" w:eastAsia="zh-CN"/>
        </w:rPr>
        <w:t>研发计划</w:t>
      </w:r>
      <w:bookmarkEnd w:id="39"/>
    </w:p>
    <w:p w14:paraId="20F3E2B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本次研发将依据《运维服务技术研发规划》系统推进，围绕需求细化、功能设计、迭代开发、测试上</w:t>
      </w:r>
      <w:bookmarkStart w:id="64" w:name="_GoBack"/>
      <w:bookmarkEnd w:id="64"/>
      <w:r>
        <w:t>线及培训推广等关键阶段展开，确保开发成果能有效落地并服务于运维团队的实际工作。详细的任务排期、资源分配与技术方案请参见该规划文档。</w:t>
      </w:r>
    </w:p>
    <w:p w14:paraId="1B9E3871">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0" w:name="_Toc8253"/>
      <w:r>
        <w:rPr>
          <w:rFonts w:hint="eastAsia"/>
          <w:lang w:val="en-US" w:eastAsia="zh-CN"/>
        </w:rPr>
        <w:t>过程管理规划</w:t>
      </w:r>
      <w:bookmarkEnd w:id="40"/>
    </w:p>
    <w:p w14:paraId="2971436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为确保运维服务过程的规范性、一致性和可追溯性，2026年公司将按照ITSS标准要求，建立并持续优化运维服务过程管理体系。</w:t>
      </w:r>
    </w:p>
    <w:p w14:paraId="75609614">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1" w:name="_Toc24514"/>
      <w:r>
        <w:rPr>
          <w:rFonts w:hint="eastAsia"/>
          <w:lang w:val="en-US" w:eastAsia="zh-CN"/>
        </w:rPr>
        <w:t>过程框架管理</w:t>
      </w:r>
      <w:bookmarkEnd w:id="41"/>
    </w:p>
    <w:p w14:paraId="2394F24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根据《运维服务过程框架管理制度》，公司运维服务过程框架分为服务规划与设计、服务部署与实施、服务运营与管理、服务监控与改进四个核心阶段，形成完整的PDCA闭环。</w:t>
      </w:r>
    </w:p>
    <w:p w14:paraId="6F42598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过程框架管理的主要工作包括：运维部负责制定并持续完善运维服务过程框架相关管理制度，牵头组织服务规划设计、部署实施、运营管理、监控改进等核心活动；质量部每年度组织一次过程框架评价，评估各过程执行的符合性和有效性，形成《过程框架评价报告》，识别改进机会并推动落实；各过程的执行情况纳入月度服务报告，定期向管理层汇报。</w:t>
      </w:r>
    </w:p>
    <w:p w14:paraId="2EDA8B0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KPI指标：过程框架评价次数</w:t>
      </w:r>
    </w:p>
    <w:p w14:paraId="19F040C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过程框架评价次数是反映运维服务过程框架定期评估执行情况的量化指标。计算方式为：年度内过程框架评价次数统计。目标值为≥1次，按年度进行考核，责任部门为运维部。</w:t>
      </w:r>
    </w:p>
    <w:p w14:paraId="0C88BB9A">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2" w:name="_Toc3698"/>
      <w:r>
        <w:rPr>
          <w:rFonts w:hint="eastAsia"/>
          <w:lang w:val="en-US" w:eastAsia="zh-CN"/>
        </w:rPr>
        <w:t>服务级别管理</w:t>
      </w:r>
      <w:bookmarkEnd w:id="42"/>
    </w:p>
    <w:p w14:paraId="6DEFA8D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根据《运维服务级别管理制度》，公司建立服务级别管理流程，对运维服务级别进行协商、监控和报告。</w:t>
      </w:r>
    </w:p>
    <w:p w14:paraId="2AF55E9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服务级别管理的主要工作包括：运维部经理负责制定和更新服务目录，定义和维持有效的服务级别管理流程；运维项目经理执行SLA的制定或修订工作，SLA须由客户确认后，提交运维部评审，通过后再经管理层评审，此评审活动每年至少一次；质量部每季度对服务级别执行情况进行监控，统计SLA达成率，对未达标的SLA项进行原因分析并制定改进措施；根据管理评审结果或部门例会决议，识别问题和差距，填写《服务改进计划表》，持续改进服务级别。</w:t>
      </w:r>
    </w:p>
    <w:p w14:paraId="4B6911B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5C2C9366">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SLA达成率</w:t>
      </w:r>
    </w:p>
    <w:p w14:paraId="3B06524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SLA达成率是反映服务级别协议执行情况的量化指标，其计算公式为：SLA达成率 = (当期已达成的SLA数 / 当期应达成的SLA总数) × 100%。目标值为≥95%，按季度进行考核，责任部门为运维部。</w:t>
      </w:r>
    </w:p>
    <w:p w14:paraId="44BE54AB">
      <w:pPr>
        <w:pStyle w:val="32"/>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SLA评审次数</w:t>
      </w:r>
    </w:p>
    <w:p w14:paraId="4D20A36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SLA评审次数是反映服务级别协议定期评审执行情况的量化指标。计算方式为：SLA评审次数统计。目标值为≥1次，按年度进行考核，责任部门为运维部。</w:t>
      </w:r>
    </w:p>
    <w:p w14:paraId="577D734E">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3" w:name="_Toc25687"/>
      <w:r>
        <w:rPr>
          <w:rFonts w:hint="eastAsia"/>
          <w:lang w:val="en-US" w:eastAsia="zh-CN"/>
        </w:rPr>
        <w:t>服务报告管理</w:t>
      </w:r>
      <w:bookmarkEnd w:id="43"/>
    </w:p>
    <w:p w14:paraId="00E3812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根据《运维服务报告管理制度》，公司建立标准化的服务报告管理机制，确保服务报告的及时性、准确性和完整性。</w:t>
      </w:r>
    </w:p>
    <w:p w14:paraId="546DBA0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服务报告管理的主要工作包括：运维项目经理负责按照固定格式和周期编制服务报告，包括日常运维报告（每周）、服务级别报告（每月）、季度服务报告（每季度）、年度服务报告（每年）以及重大事件报告、专项改进报告等专项报告；质量部每季度组织服务报告管理过程的评审，从及时性、准确性、完整性、可读性、分析深度等维度进行评估；服务报告按照分发矩阵提交给客户、管理层、质量部等相关方，重要报告需确认对方已接收。</w:t>
      </w:r>
    </w:p>
    <w:p w14:paraId="772A626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00E27595">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服务报告交付及时率</w:t>
      </w:r>
    </w:p>
    <w:p w14:paraId="7A68385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服务报告交付及时率是反映服务报告按时提交情况的量化指标，其计算公式为：服务报告交付及时率 = (按时提交的服务报告数量 / 应提交服务报告总数量) × 100%。目标值为≥95%，按季度进行考核，责任部门为运维部。</w:t>
      </w:r>
    </w:p>
    <w:p w14:paraId="40CF8ED9">
      <w:pPr>
        <w:pStyle w:val="32"/>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服务报告准确率</w:t>
      </w:r>
    </w:p>
    <w:p w14:paraId="7B3ABFD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服务报告准确率是反映服务报告数据准确性的量化指标，其计算公式为：服务报告准确率 = (数据准确的服务报告数量 / 服务报告总数量) × 100%。目标值为≥98%，按季度进行考核，责任部门为运维部。</w:t>
      </w:r>
    </w:p>
    <w:p w14:paraId="47E1CE91">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4" w:name="_Toc32699"/>
      <w:r>
        <w:rPr>
          <w:rFonts w:hint="eastAsia"/>
          <w:lang w:val="en-US" w:eastAsia="zh-CN"/>
        </w:rPr>
        <w:t>事件管理</w:t>
      </w:r>
      <w:bookmarkEnd w:id="44"/>
    </w:p>
    <w:p w14:paraId="6A201B5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根据《运维服务事件管理制度》，公司建立标准化的服务事件管理流程，确保事件能够快速响应和有效解决。</w:t>
      </w:r>
    </w:p>
    <w:p w14:paraId="50995D2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事件管理的主要工作包括：服务台作为事件统一受理窗口，7×24小时接收客户事件请求；事件根据影响范围和紧急程度分为一级、二级、三级，各级事件规定相应的响应时间和处理时间要求（一级事件3分钟内响应、4小时内解决）；当事件在规定时间内未能解决时，按升级时间要求（一级事件1小时升级到二线、2小时升级到三线）进行升级处理；事件解决后，服务台进行客户回访，确认事件解决效果并收集满意度。</w:t>
      </w:r>
    </w:p>
    <w:p w14:paraId="65E2A5D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10DE3769">
      <w:pPr>
        <w:pStyle w:val="32"/>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事件解决率</w:t>
      </w:r>
    </w:p>
    <w:p w14:paraId="0F79DB7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事件解决率是反映事件处理能力的量化指标，其计算公式为：事件解决率 = (成功解决事件数 / 已关闭事件总数) × 100%。目标值为≥95%，按季度进行考核，责任部门为运维部。</w:t>
      </w:r>
    </w:p>
    <w:p w14:paraId="73F4D823">
      <w:pPr>
        <w:pStyle w:val="32"/>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一线解决率</w:t>
      </w:r>
    </w:p>
    <w:p w14:paraId="19780F4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一线解决率是反映服务台问题解决能力的量化指标，其计算公式为：一线解决率 = (一线解决事件数 / 事件总数) × 100%。目标值为≥70%，按月度进行考核，责任部门为运维部。</w:t>
      </w:r>
    </w:p>
    <w:p w14:paraId="21C5993A">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5" w:name="_Toc19842"/>
      <w:r>
        <w:rPr>
          <w:rFonts w:hint="eastAsia"/>
          <w:lang w:val="en-US" w:eastAsia="zh-CN"/>
        </w:rPr>
        <w:t>问题管理</w:t>
      </w:r>
      <w:bookmarkEnd w:id="45"/>
    </w:p>
    <w:p w14:paraId="4F27B97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根据《运维服务问题管理制度》，公司建立问题管理流程，通过分析事件的根本原因，防止同类事件再次发生。</w:t>
      </w:r>
    </w:p>
    <w:p w14:paraId="33A64A7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问题管理的主要工作包括：当事件原因不明、同一事件频繁发生（一周内发生3次以上）、事件影响重大时，由事件管理流程触发问题管理流程；运维部经理作为问题管理负责人，负责分派问题并跟踪解决；问题分析采用5W1H、鱼骨图、故障树等方法进行根本原因分析；问题解决后，将解决方案录入知识库，形成知识沉淀；问题管理负责人每月进行问题汇总分析，结果作为服务报告的输入。</w:t>
      </w:r>
    </w:p>
    <w:p w14:paraId="14124D3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KPI指标：问题解决率</w:t>
      </w:r>
    </w:p>
    <w:p w14:paraId="01E5B8F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问题解决率是反映问题管理有效性的量化指标，其计算公式为：问题解决率 = (成功解决问题数 / 问题总数) × 100%。目标值为≥90%，按季度进行考核，责任部门为运维部。</w:t>
      </w:r>
    </w:p>
    <w:p w14:paraId="674C4110">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6" w:name="_Toc24258"/>
      <w:r>
        <w:rPr>
          <w:rFonts w:hint="eastAsia"/>
          <w:lang w:val="en-US" w:eastAsia="zh-CN"/>
        </w:rPr>
        <w:t>变更管理</w:t>
      </w:r>
      <w:bookmarkEnd w:id="46"/>
    </w:p>
    <w:p w14:paraId="2D81690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根据《运维服务变更管理制度》，公司建立变更管理流程，对所有对运维服务环境有影响的变更进行管理和控制。</w:t>
      </w:r>
    </w:p>
    <w:p w14:paraId="6534BB4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变更管理的主要工作包括：变更分为一般变更、重大变更、紧急变更三类，不同类型的变更执行不同的审批流程；变更方案必须包含回退计划，明确回退触发条件、回退操作步骤、回退负责人、回退验证方法等；重大变更和紧急变更由变更管理委员会（CAB）进行评估和决策，CAB成员包括运维部经理、研发部经理、质量部经理、总经理/副总经理、客户代表；变更完成后，变更管理负责人每季度对变更数量进行统计，分析变更过程存在的问题，形成变更服务报告。</w:t>
      </w:r>
    </w:p>
    <w:p w14:paraId="50D3120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KPI指标：变更成功率</w:t>
      </w:r>
    </w:p>
    <w:p w14:paraId="7775BB4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变更成功率是反映变更管理执行质量的量化指标，其计算公式为：变更成功率 = (成功变更数 / 发起变更总数) × 100%。目标值为≥92%，按季度进行考核，责任部门为运维部。</w:t>
      </w:r>
    </w:p>
    <w:p w14:paraId="04CCEA34">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7" w:name="_Toc27638"/>
      <w:r>
        <w:rPr>
          <w:rFonts w:hint="eastAsia"/>
          <w:lang w:val="en-US" w:eastAsia="zh-CN"/>
        </w:rPr>
        <w:t>发布管理</w:t>
      </w:r>
      <w:bookmarkEnd w:id="47"/>
    </w:p>
    <w:p w14:paraId="6ED034C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根据《运维服务发布管理制度》（SFKJ-ITSS-0607），公司建立发布管理流程，确保软件和硬件的变更经过测试验证后有序发布。</w:t>
      </w:r>
    </w:p>
    <w:p w14:paraId="71F1D90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发布管理的主要工作包括：发布管理负责人根据变更计划制定《发布方案》，发布方案必须包含回退计划；发布方案需经发布管理负责人（运维部经理）牵头评审，评审通过后方可实施；发布前应对程序和数据进行备份，部署完成后进行验证，验证不成功则按计划执行回退；发布完成后，发布管理负责人收集发布引起的事件或问题数量、发布数量等数据，进行分析并编写《发布报告》，作为服务报告的一部分。</w:t>
      </w:r>
    </w:p>
    <w:p w14:paraId="0092F94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KPI指标：发布成功率</w:t>
      </w:r>
    </w:p>
    <w:p w14:paraId="45966A9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发布成功率是反映发布管理执行质量的量化指标，其计算公式为：发布成功率 = (发布成功次数 / 发布总次数) × 100%。目标值为≥95%，按季度进行考核，责任部门为运维部。</w:t>
      </w:r>
    </w:p>
    <w:p w14:paraId="5960B13A">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8" w:name="_Toc12147"/>
      <w:r>
        <w:rPr>
          <w:rFonts w:hint="eastAsia"/>
          <w:lang w:val="en-US" w:eastAsia="zh-CN"/>
        </w:rPr>
        <w:t>配置管理</w:t>
      </w:r>
      <w:bookmarkEnd w:id="48"/>
    </w:p>
    <w:p w14:paraId="4E71DB0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根据《运维服务配置管理制度》，公司建立配置管理流程，通过配置管理数据库（CMDB）对配置项进行统一管理。</w:t>
      </w:r>
    </w:p>
    <w:p w14:paraId="1B6AC9D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配置管理的主要工作包括：配置项范围涵盖文档信息、软件信息、硬件信息、其他信息（供应商信息、备件信息等）；硬件运维工程师、软件运维工程师、备件库专员分别负责对应配置项的识别、录入和维护；配置项状态包括开发中、测试中、运行中、废弃；每年至少进行一次配置审计和验证，发生重大变更、新服务上线、发现配置信息与实际情况不符时追加审计；配置管理员每月整理配置管理数据库的信息，编写《配置管理报告》。</w:t>
      </w:r>
    </w:p>
    <w:p w14:paraId="2529DA5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669FF8B1">
      <w:pPr>
        <w:pStyle w:val="32"/>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配置数据准确率</w:t>
      </w:r>
    </w:p>
    <w:p w14:paraId="032872A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配置数据准确率是反映配置管理数据库数据准确性的量化指标，其计算公式为：配置数据准确率 = (配置数据匹配数 / 配置数据总数) × 100%。目标值为≥95%，按季度进行考核，责任部门为运维部。</w:t>
      </w:r>
    </w:p>
    <w:p w14:paraId="190AAB1F">
      <w:pPr>
        <w:pStyle w:val="32"/>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配置项覆盖率</w:t>
      </w:r>
    </w:p>
    <w:p w14:paraId="2FD7555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配置项覆盖率是反映配置项识别完整性的量化指标，其计算公式为：配置项覆盖率 = (已识别配置项数 / 应识别配置项数) × 100%。目标值为≥95%，按季度进行考核，责任部门为运维部。</w:t>
      </w:r>
    </w:p>
    <w:p w14:paraId="640611A4">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9" w:name="_Toc23011"/>
      <w:r>
        <w:rPr>
          <w:rFonts w:hint="eastAsia"/>
          <w:lang w:val="en-US" w:eastAsia="zh-CN"/>
        </w:rPr>
        <w:t>可用性和连续性管理</w:t>
      </w:r>
      <w:bookmarkEnd w:id="49"/>
    </w:p>
    <w:p w14:paraId="332AA15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根据《服务可用性和连续性管理制度》，公司建立服务可用性和连续性管理流程，确保关键服务达到约定的可用性目标，在发生服务中断时能够及时恢复。</w:t>
      </w:r>
    </w:p>
    <w:p w14:paraId="20CE11F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可用性和连续性管理的主要工作包括：副总经理作为服务可用性和连续性管理负责人，统筹应急管理工作；运维部经理作为日常可用性管理负责人，负责服务可用性目标的制定和分解，日常可用性监控和分析；通过监控工具7×24小时实时监测系统运行状态，当监控指标触发预警阈值时，监控系统自动发送告警；每半年组织一次应急演练（桌面推演每半年1次、实战演练每年1次），验证应急预案有效性。</w:t>
      </w:r>
    </w:p>
    <w:p w14:paraId="02EA5FB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35D22894">
      <w:pPr>
        <w:pStyle w:val="32"/>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服务可用性达标率</w:t>
      </w:r>
    </w:p>
    <w:p w14:paraId="7DC43A6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服务可用性达标率是反映服务可用性目标达成情况的量化指标，其计算公式为：服务可用性达标率 = (系统实际持续可用时间 / 系统计划持续可用时间) × 100%。目标值为≥99%，按年度进行考核，责任部门为运维部。</w:t>
      </w:r>
    </w:p>
    <w:p w14:paraId="5E08995F">
      <w:pPr>
        <w:pStyle w:val="32"/>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服务异常中断次数</w:t>
      </w:r>
    </w:p>
    <w:p w14:paraId="12D3AAA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服务异常中断次数是反映服务稳定性的量化指标。计算方式为：由于异常情况导致服务中断的次数统计。目标值为≤2次，按年度进行考核，责任部门为运维部。</w:t>
      </w:r>
    </w:p>
    <w:p w14:paraId="49295B04">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0" w:name="_Toc6473"/>
      <w:r>
        <w:rPr>
          <w:rFonts w:hint="eastAsia"/>
          <w:lang w:val="en-US" w:eastAsia="zh-CN"/>
        </w:rPr>
        <w:t>容量管理</w:t>
      </w:r>
      <w:bookmarkEnd w:id="50"/>
    </w:p>
    <w:p w14:paraId="1884318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根据《运维服务容量管理制度》，公司建立容量管理流程，确保IT基础设施和服务能力与业务需求相匹配。</w:t>
      </w:r>
    </w:p>
    <w:p w14:paraId="3927C8D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容量管理的主要工作包括：容量管理范围涵盖计算资源（服务器、虚拟机）、存储资源、网络资源、数据库资源、应用系统、前端设备；容量监控人员按照容量管理计划执行日常容量监控，关键容量指标包括CPU使用率（&gt;80%预警、&gt;90%告警）、内存使用率（&gt;85%预警、&gt;95%告警）、磁盘使用率（&gt;80%预警、&gt;90%告警）等；每月进行容量分析，识别容量趋势、瓶颈和潜在风险；容量调整通过变更管理流程执行。</w:t>
      </w:r>
    </w:p>
    <w:p w14:paraId="03F0978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KPI指标：容量报告及时性</w:t>
      </w:r>
    </w:p>
    <w:p w14:paraId="030A0F2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容量报告及时性是反映容量管理工作按时交付情况的量化指标，其计算公式为：容量报告及时性 = (实际按时提交的报告数 / 应按时提交的报告数) × 100%。目标值为≥95%，按季度进行考核，责任部门为运维部。</w:t>
      </w:r>
    </w:p>
    <w:p w14:paraId="01965683">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1" w:name="_Toc1700"/>
      <w:r>
        <w:rPr>
          <w:rFonts w:hint="eastAsia"/>
          <w:lang w:val="en-US" w:eastAsia="zh-CN"/>
        </w:rPr>
        <w:t>信息安全管理</w:t>
      </w:r>
      <w:bookmarkEnd w:id="51"/>
    </w:p>
    <w:p w14:paraId="6F96470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根据《运维服务信息安全管理制度》，公司建立信息安全管理流程，确保服务的安全性满足客户约定的级别。</w:t>
      </w:r>
    </w:p>
    <w:p w14:paraId="6E956C8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信息安全管理的主要工作包括：遵循公司"统一规划、分级管理、积极防范、人人有责"的安全方针；每年至少进行一次信息安全风险评估，识别信息资产、评估面临的威胁和脆弱性，确定风险等级；制定《信息安全管理规范》，覆盖人员安全、访问控制、数据安全、系统安全、网络安全、物理安全、应急响应七类规范；每半年组织一次安全培训，确保运维人员了解安全政策和操作规范。</w:t>
      </w:r>
    </w:p>
    <w:p w14:paraId="70A5C38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44CA73AF">
      <w:pPr>
        <w:pStyle w:val="32"/>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安全培训覆盖率</w:t>
      </w:r>
    </w:p>
    <w:p w14:paraId="099E9DE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安全培训覆盖率是反映安全培训覆盖广度的量化指标，其计算公式为：安全培训覆盖率 = (接受培训人数 / 应培训人数) × 100%。目标值为≥95%，按年度进行考核，责任部门为运维部。</w:t>
      </w:r>
    </w:p>
    <w:p w14:paraId="3F839E57">
      <w:pPr>
        <w:pStyle w:val="32"/>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信息安全事故数量</w:t>
      </w:r>
    </w:p>
    <w:p w14:paraId="5E14989E">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信息安全事故数量是反映信息安全管理有效性的量化指标。计算方式为：我方人员造成安全事故的次数统计。目标值为≤1次，按年度进行考核，责任部门为运维部。</w:t>
      </w:r>
    </w:p>
    <w:p w14:paraId="44487592">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2" w:name="_Toc17627"/>
      <w:r>
        <w:rPr>
          <w:rFonts w:hint="eastAsia"/>
          <w:lang w:val="en-US" w:eastAsia="zh-CN"/>
        </w:rPr>
        <w:t>交付管理规划</w:t>
      </w:r>
      <w:bookmarkEnd w:id="52"/>
    </w:p>
    <w:p w14:paraId="0FDB716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根据《运维服务交付管理制度》，公司采用PDCA循环管理模式，通过交付策划、交付实施、交付检查、交付改进四个核心环节，实现服务交付质量的闭环管控。</w:t>
      </w:r>
    </w:p>
    <w:p w14:paraId="1156029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2026年交付管理的主要工作包括：</w:t>
      </w:r>
    </w:p>
    <w:p w14:paraId="6CAA2C0C">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3" w:name="_Toc7312"/>
      <w:r>
        <w:rPr>
          <w:rFonts w:hint="eastAsia"/>
          <w:lang w:val="en-US" w:eastAsia="zh-CN"/>
        </w:rPr>
        <w:t>交付策划</w:t>
      </w:r>
      <w:bookmarkEnd w:id="53"/>
    </w:p>
    <w:p w14:paraId="6BD0FA4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项目启动时与客户召开项目交底会，明确服务范围、SLA指标、沟通机制、应急联络方式，形成《项目交底会议纪要》；编制《项目服务总计划》和《运维服务交付计划》，明确里程碑节点、交付物、责任人及验收标准；组建"一线、二线、三线"三级运维服务体系，明确各岗位职责；开展全面风险评估，制定《风险管理计划》和专项应急预案。</w:t>
      </w:r>
    </w:p>
    <w:p w14:paraId="1DE7168B">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4" w:name="_Toc11988"/>
      <w:r>
        <w:rPr>
          <w:rFonts w:hint="eastAsia"/>
          <w:lang w:val="en-US" w:eastAsia="zh-CN"/>
        </w:rPr>
        <w:t>交付实施</w:t>
      </w:r>
      <w:bookmarkEnd w:id="54"/>
    </w:p>
    <w:p w14:paraId="58C5B12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严格遵循服务计划及操作规范，通过工单系统统一受理、派发、处理所有服务请求；建立SLA达成情况实时监控机制，每日统计服务响应时间、故障解决率等关键数据；严格执行故障处理流程，确保所有故障在规定时限内闭环；通过周报、月报、季报等形式，定期向客户及公司管理层同步项目进展、风险状况、服务成果。</w:t>
      </w:r>
    </w:p>
    <w:p w14:paraId="1A62F9B4">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5" w:name="_Toc31372"/>
      <w:r>
        <w:rPr>
          <w:rFonts w:hint="eastAsia"/>
          <w:lang w:val="en-US" w:eastAsia="zh-CN"/>
        </w:rPr>
        <w:t>交付检查</w:t>
      </w:r>
      <w:bookmarkEnd w:id="55"/>
    </w:p>
    <w:p w14:paraId="088428A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运维项目经理每月组织项目自查，形成《自查报告》并自行整改；质量部经理每季度对重点项目进行全覆盖抽查，填写《交付检查报告》；检查结果及时反馈并纳入问题整改台账跟踪闭环。</w:t>
      </w:r>
    </w:p>
    <w:p w14:paraId="1E053D10">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6" w:name="_Toc25543"/>
      <w:r>
        <w:rPr>
          <w:rFonts w:hint="eastAsia"/>
          <w:lang w:val="en-US" w:eastAsia="zh-CN"/>
        </w:rPr>
        <w:t>交付改进</w:t>
      </w:r>
      <w:bookmarkEnd w:id="56"/>
    </w:p>
    <w:p w14:paraId="42E238D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部牵头，针对检查报告和客户投诉，组织召开专题分析会，制定改进方案，明确整改措施、时限与责任人；定期组织服务复盘会议，总结经验教训，形成《服务改进报告》；将改进成果固化到服务流程、操作手册、知识库中。</w:t>
      </w:r>
    </w:p>
    <w:p w14:paraId="177C244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KPI指标：交付通过率</w:t>
      </w:r>
    </w:p>
    <w:p w14:paraId="5914C07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交付通过率是反映运维服务交付质量的量化指标，其计算公式为：交付通过率 = (一次交付成功项目数 / 总交付项目数) × 100%。目标值为≥95%，按年度进行考核，责任部门为运维部。</w:t>
      </w:r>
    </w:p>
    <w:p w14:paraId="0D1979ED">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7" w:name="_Toc1822"/>
      <w:r>
        <w:rPr>
          <w:rFonts w:hint="eastAsia"/>
          <w:lang w:val="en-US" w:eastAsia="zh-CN"/>
        </w:rPr>
        <w:t>应急管理规划</w:t>
      </w:r>
      <w:bookmarkEnd w:id="57"/>
    </w:p>
    <w:p w14:paraId="0A9E772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根据《运维服务应急管理制度》，公司建立统一的应急响应管理体系，确保在突发事件发生时能够快速响应、有效处置。</w:t>
      </w:r>
    </w:p>
    <w:p w14:paraId="64BC4DD9">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2026年应急管理的主要工作包括：</w:t>
      </w:r>
    </w:p>
    <w:p w14:paraId="0A5B746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应急组织：公司设立三级应急组织体系，包括应急领导小组（副总经理、运维部经理、研发部经理、质量部经理）、应急执行小组（运维项目经理、硬件/软件运维工程师、技术支持工程师）、应急支持小组（人力部经理、备件库专员、采购专员）。</w:t>
      </w:r>
    </w:p>
    <w:p w14:paraId="0A9647D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应急预案：每个运维项目至少制定一份《应急预案》，涵盖项目核心系统，包括适用范围、应急组织架构及职责、风险场景及对应处置流程、联络方式、资源清单、恢复步骤、回退方案等；应急预案由运维项目经理组织编写，经运维部经理审核、副总经理批准后发布执行；每年至少评审一次应急预案，根据风险评估结果、演练总结、实际事件处置经验进行修订。</w:t>
      </w:r>
    </w:p>
    <w:p w14:paraId="780C741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应急响应：应急响应流程分为监测与预警、先期处置、应急启动、应急处置、应急终止五个阶段；一线工程师接到告警后应在15分钟内响应，若在30分钟内无法恢复或事件影响重大，应立即上报运维项目经理和副总经理；应急处置过程中，重大事件每30分钟向客户和管理层通报一次进展。</w:t>
      </w:r>
    </w:p>
    <w:p w14:paraId="25BE28F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应急演练：每年至少组织一次全面演练（实战演练），每季度组织一次专项演练（桌面推演）；演练前制定《应急演练计划》，明确演练目标、场景、参与人员、物资准备；演练过程全程记录，演练后组织复盘，评估演练效果，形成《应急演练总结报告》。</w:t>
      </w:r>
    </w:p>
    <w:p w14:paraId="118BA0E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KPI指标：应急演练次数</w:t>
      </w:r>
    </w:p>
    <w:p w14:paraId="3EAA53D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应急演练次数是反映应急演练执行情况的量化指标。计算方式为：应急演练报告数量统计。目标值为≥1次，按年度进行考核，责任部门为运维部。</w:t>
      </w:r>
    </w:p>
    <w:p w14:paraId="5F92206C">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8" w:name="_Toc29559"/>
      <w:r>
        <w:rPr>
          <w:rFonts w:hint="eastAsia"/>
          <w:lang w:val="en-US" w:eastAsia="zh-CN"/>
        </w:rPr>
        <w:t>质量管理规划</w:t>
      </w:r>
      <w:bookmarkEnd w:id="58"/>
    </w:p>
    <w:p w14:paraId="3C9685B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根据《运维服务质量管理制度》《内审管理制度》（SFKJ-ITSS-0401）、《管理评审制度》《满意度管理制度》等制度，公司建立全面的质量管理体系，确保运维服务质量持续提升。</w:t>
      </w:r>
    </w:p>
    <w:p w14:paraId="64EA3025">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2026年质量管理的主要工作包括：</w:t>
      </w:r>
    </w:p>
    <w:p w14:paraId="5F098EE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质量方针：遵循公司"过程规范、快速响应、提高服务质量，提升客户满意度"的质量方针，全体员工在日常工作中贯彻质量意识。</w:t>
      </w:r>
    </w:p>
    <w:p w14:paraId="47A33E30">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9" w:name="_Toc4354"/>
      <w:r>
        <w:rPr>
          <w:rFonts w:hint="eastAsia"/>
          <w:lang w:val="en-US" w:eastAsia="zh-CN"/>
        </w:rPr>
        <w:t>质量管理计划</w:t>
      </w:r>
      <w:bookmarkEnd w:id="59"/>
    </w:p>
    <w:p w14:paraId="0D40A1D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部每年年初制定《年度运维服务质量管理计划》，明确质量管理的目的、范围、组织、权限、责任，确定要对哪些过程和服务进行质量检查审计，明确质量检查的时间安排和频次、质量培训计划、质量目标及KPI指标。</w:t>
      </w:r>
    </w:p>
    <w:p w14:paraId="2AB4F096">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0" w:name="_Toc8076"/>
      <w:r>
        <w:rPr>
          <w:rFonts w:hint="eastAsia"/>
          <w:lang w:val="en-US" w:eastAsia="zh-CN"/>
        </w:rPr>
        <w:t>质量检查</w:t>
      </w:r>
      <w:bookmarkEnd w:id="60"/>
    </w:p>
    <w:p w14:paraId="51D1D86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部每季度对组织级的运维服务质量进行审计，检查能力计划执行情况和指标体系中各指标项的达成情况，检查各过程管理制度的执行情况，检查服务交付物的完整性；质量部依据质量管理计划，定期对项目活动和工作产品进行检查，记录检查发现的问题，作为改进的依据。</w:t>
      </w:r>
    </w:p>
    <w:p w14:paraId="761ADF87">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1" w:name="_Toc20892"/>
      <w:r>
        <w:rPr>
          <w:rFonts w:hint="eastAsia"/>
          <w:lang w:val="en-US" w:eastAsia="zh-CN"/>
        </w:rPr>
        <w:t>内部审核</w:t>
      </w:r>
      <w:bookmarkEnd w:id="61"/>
    </w:p>
    <w:p w14:paraId="6F94191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质量部每年度至少组织一次覆盖公司全范围的运维服务管理体系内部审核活动，审核范围应覆盖人员、资源、技术、过程、交付、应急六大能力域；内审员不得审核本部门，审核依据包括ITSS标准、GB/T 28827.1、公司相关制度、SLA协议、客户需求及法律法规；审核结束后，内审组长编写《内部审核报告》，报总经理审批后发放至相关受审部门。</w:t>
      </w:r>
    </w:p>
    <w:p w14:paraId="7CF82D92">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2" w:name="_Toc10449"/>
      <w:r>
        <w:rPr>
          <w:rFonts w:hint="eastAsia"/>
          <w:lang w:val="en-US" w:eastAsia="zh-CN"/>
        </w:rPr>
        <w:t>管理评审</w:t>
      </w:r>
      <w:bookmarkEnd w:id="62"/>
    </w:p>
    <w:p w14:paraId="44D7EF5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总经理每年至少主持一次管理评审会议，一般在内部审核结束后一个月内进行；管理评审输入包括内审结果、外审结果、客户满意度调查报告、KPI达成情况、交付情况、应急情况、技术发展、资源状况、人员状况等；管理评审输出包括管理体系适宜性、充分性和有效性的总体评价，体系改进方向和重点，具体改进决议事项，资源配置需求，下一年度运维服务目标建议；质量部根据评审决议编写《管理评审报告》，经总经理批准后发放至各相关部门。</w:t>
      </w:r>
    </w:p>
    <w:p w14:paraId="50FCA8D5">
      <w:pPr>
        <w:pStyle w:val="34"/>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3" w:name="_Toc1974"/>
      <w:r>
        <w:rPr>
          <w:rFonts w:hint="eastAsia"/>
          <w:lang w:val="en-US" w:eastAsia="zh-CN"/>
        </w:rPr>
        <w:t>客户满意度管理</w:t>
      </w:r>
      <w:bookmarkEnd w:id="63"/>
    </w:p>
    <w:p w14:paraId="03D7CE6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部每年度至少组织一次组织级客户满意度调查，采用问卷填写方式，调查内容与SLA内容相一致，覆盖所有运维服务客户；调查维度包括响应速度、服务态度、技术水平、交付质量、应急响应、沟通协调、总体评价；质量部根据调查反馈数据进行分析总结，编写《客户满意度调查分析报告》，提出服务改进建议。</w:t>
      </w:r>
    </w:p>
    <w:p w14:paraId="1F7CD17C">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14:paraId="6E4180A1">
      <w:pPr>
        <w:pStyle w:val="32"/>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内审次数</w:t>
      </w:r>
    </w:p>
    <w:p w14:paraId="425B2D42">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内审次数是反映内部审核执行情况的量化指标。计算方式为：内审报告数量统计。目标值为≥1次，按年度进行考核，责任部门为质量部。</w:t>
      </w:r>
    </w:p>
    <w:p w14:paraId="1F45E4FB">
      <w:pPr>
        <w:pStyle w:val="32"/>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管评次数</w:t>
      </w:r>
    </w:p>
    <w:p w14:paraId="1876692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管评次数是反映管理评审执行情况的量化指标。计算方式为：管评报告数量统计。目标值为≥1次，按年度进行考核，责任部门为质量部。</w:t>
      </w:r>
    </w:p>
    <w:p w14:paraId="39450BE7">
      <w:pPr>
        <w:pStyle w:val="32"/>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客户投诉数量</w:t>
      </w:r>
    </w:p>
    <w:p w14:paraId="4D6BEB8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客户投诉数量是反映客户满意度的量化指标。计算方式为：服务台收到的客户投诉的数量统计。目标值为≤2次，按年度进行考核，责任部门为质量。</w:t>
      </w:r>
    </w:p>
    <w:p w14:paraId="1D80CCD1">
      <w:pPr>
        <w:pStyle w:val="32"/>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满意度得分</w:t>
      </w:r>
    </w:p>
    <w:p w14:paraId="43BEBF8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满意度得分是反映客户对运维服务整体满意程度的量化指标，其计算公式为：满意度得分 = 满意度得分总和 / 满意度调查客户数。目标值为≥95分，按年度进行考核，责任部门为质量部。</w:t>
      </w:r>
    </w:p>
    <w:p w14:paraId="592B81D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21FF5E"/>
    <w:multiLevelType w:val="singleLevel"/>
    <w:tmpl w:val="8B21FF5E"/>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BC4E6598"/>
    <w:multiLevelType w:val="singleLevel"/>
    <w:tmpl w:val="BC4E6598"/>
    <w:lvl w:ilvl="0" w:tentative="0">
      <w:start w:val="1"/>
      <w:numFmt w:val="decimal"/>
      <w:lvlText w:val="%1."/>
      <w:lvlJc w:val="left"/>
      <w:pPr>
        <w:ind w:left="425" w:hanging="425"/>
      </w:pPr>
      <w:rPr>
        <w:rFonts w:hint="default"/>
      </w:rPr>
    </w:lvl>
  </w:abstractNum>
  <w:abstractNum w:abstractNumId="3">
    <w:nsid w:val="BD3CB2BC"/>
    <w:multiLevelType w:val="singleLevel"/>
    <w:tmpl w:val="BD3CB2BC"/>
    <w:lvl w:ilvl="0" w:tentative="0">
      <w:start w:val="1"/>
      <w:numFmt w:val="decimal"/>
      <w:lvlText w:val="%1."/>
      <w:lvlJc w:val="left"/>
      <w:pPr>
        <w:ind w:left="425" w:hanging="425"/>
      </w:pPr>
      <w:rPr>
        <w:rFonts w:hint="default"/>
      </w:rPr>
    </w:lvl>
  </w:abstractNum>
  <w:abstractNum w:abstractNumId="4">
    <w:nsid w:val="C8F36CFC"/>
    <w:multiLevelType w:val="singleLevel"/>
    <w:tmpl w:val="C8F36CFC"/>
    <w:lvl w:ilvl="0" w:tentative="0">
      <w:start w:val="1"/>
      <w:numFmt w:val="decimal"/>
      <w:lvlText w:val="%1."/>
      <w:lvlJc w:val="left"/>
      <w:pPr>
        <w:ind w:left="425" w:hanging="425"/>
      </w:pPr>
      <w:rPr>
        <w:rFonts w:hint="default"/>
      </w:rPr>
    </w:lvl>
  </w:abstractNum>
  <w:abstractNum w:abstractNumId="5">
    <w:nsid w:val="D19F490F"/>
    <w:multiLevelType w:val="singleLevel"/>
    <w:tmpl w:val="D19F490F"/>
    <w:lvl w:ilvl="0" w:tentative="0">
      <w:start w:val="1"/>
      <w:numFmt w:val="decimal"/>
      <w:lvlText w:val="%1."/>
      <w:lvlJc w:val="left"/>
      <w:pPr>
        <w:ind w:left="425" w:hanging="425"/>
      </w:pPr>
      <w:rPr>
        <w:rFonts w:hint="default"/>
      </w:rPr>
    </w:lvl>
  </w:abstractNum>
  <w:abstractNum w:abstractNumId="6">
    <w:nsid w:val="DCF153B7"/>
    <w:multiLevelType w:val="singleLevel"/>
    <w:tmpl w:val="DCF153B7"/>
    <w:lvl w:ilvl="0" w:tentative="0">
      <w:start w:val="1"/>
      <w:numFmt w:val="decimal"/>
      <w:lvlText w:val="%1."/>
      <w:lvlJc w:val="left"/>
      <w:pPr>
        <w:ind w:left="425" w:hanging="425"/>
      </w:pPr>
      <w:rPr>
        <w:rFonts w:hint="default"/>
      </w:rPr>
    </w:lvl>
  </w:abstractNum>
  <w:abstractNum w:abstractNumId="7">
    <w:nsid w:val="037B62C4"/>
    <w:multiLevelType w:val="singleLevel"/>
    <w:tmpl w:val="037B62C4"/>
    <w:lvl w:ilvl="0" w:tentative="0">
      <w:start w:val="1"/>
      <w:numFmt w:val="decimal"/>
      <w:lvlText w:val="%1."/>
      <w:lvlJc w:val="left"/>
      <w:pPr>
        <w:ind w:left="425" w:hanging="425"/>
      </w:pPr>
      <w:rPr>
        <w:rFonts w:hint="default"/>
      </w:rPr>
    </w:lvl>
  </w:abstractNum>
  <w:abstractNum w:abstractNumId="8">
    <w:nsid w:val="049F18A2"/>
    <w:multiLevelType w:val="singleLevel"/>
    <w:tmpl w:val="049F18A2"/>
    <w:lvl w:ilvl="0" w:tentative="0">
      <w:start w:val="1"/>
      <w:numFmt w:val="decimal"/>
      <w:lvlText w:val="%1."/>
      <w:lvlJc w:val="left"/>
      <w:pPr>
        <w:ind w:left="425" w:hanging="425"/>
      </w:pPr>
      <w:rPr>
        <w:rFonts w:hint="default"/>
      </w:rPr>
    </w:lvl>
  </w:abstractNum>
  <w:abstractNum w:abstractNumId="9">
    <w:nsid w:val="15FDC934"/>
    <w:multiLevelType w:val="singleLevel"/>
    <w:tmpl w:val="15FDC934"/>
    <w:lvl w:ilvl="0" w:tentative="0">
      <w:start w:val="1"/>
      <w:numFmt w:val="decimal"/>
      <w:lvlText w:val="%1."/>
      <w:lvlJc w:val="left"/>
      <w:pPr>
        <w:ind w:left="425" w:hanging="425"/>
      </w:pPr>
      <w:rPr>
        <w:rFonts w:hint="default"/>
      </w:rPr>
    </w:lvl>
  </w:abstractNum>
  <w:abstractNum w:abstractNumId="10">
    <w:nsid w:val="2209B528"/>
    <w:multiLevelType w:val="singleLevel"/>
    <w:tmpl w:val="2209B528"/>
    <w:lvl w:ilvl="0" w:tentative="0">
      <w:start w:val="1"/>
      <w:numFmt w:val="decimal"/>
      <w:lvlText w:val="%1."/>
      <w:lvlJc w:val="left"/>
      <w:pPr>
        <w:ind w:left="425" w:hanging="425"/>
      </w:pPr>
      <w:rPr>
        <w:rFonts w:hint="default"/>
      </w:rPr>
    </w:lvl>
  </w:abstractNum>
  <w:abstractNum w:abstractNumId="11">
    <w:nsid w:val="6174B873"/>
    <w:multiLevelType w:val="singleLevel"/>
    <w:tmpl w:val="6174B873"/>
    <w:lvl w:ilvl="0" w:tentative="0">
      <w:start w:val="1"/>
      <w:numFmt w:val="decimal"/>
      <w:lvlText w:val="%1."/>
      <w:lvlJc w:val="left"/>
      <w:pPr>
        <w:ind w:left="425" w:hanging="425"/>
      </w:pPr>
      <w:rPr>
        <w:rFonts w:hint="default"/>
      </w:rPr>
    </w:lvl>
  </w:abstractNum>
  <w:abstractNum w:abstractNumId="12">
    <w:nsid w:val="6C675FB8"/>
    <w:multiLevelType w:val="singleLevel"/>
    <w:tmpl w:val="6C675FB8"/>
    <w:lvl w:ilvl="0" w:tentative="0">
      <w:start w:val="1"/>
      <w:numFmt w:val="decimal"/>
      <w:lvlText w:val="%1."/>
      <w:lvlJc w:val="left"/>
      <w:pPr>
        <w:ind w:left="425" w:hanging="425"/>
      </w:pPr>
      <w:rPr>
        <w:rFonts w:hint="default"/>
      </w:rPr>
    </w:lvl>
  </w:abstractNum>
  <w:num w:numId="1">
    <w:abstractNumId w:val="1"/>
  </w:num>
  <w:num w:numId="2">
    <w:abstractNumId w:val="6"/>
  </w:num>
  <w:num w:numId="3">
    <w:abstractNumId w:val="10"/>
  </w:num>
  <w:num w:numId="4">
    <w:abstractNumId w:val="11"/>
  </w:num>
  <w:num w:numId="5">
    <w:abstractNumId w:val="5"/>
  </w:num>
  <w:num w:numId="6">
    <w:abstractNumId w:val="8"/>
  </w:num>
  <w:num w:numId="7">
    <w:abstractNumId w:val="3"/>
  </w:num>
  <w:num w:numId="8">
    <w:abstractNumId w:val="4"/>
  </w:num>
  <w:num w:numId="9">
    <w:abstractNumId w:val="2"/>
  </w:num>
  <w:num w:numId="10">
    <w:abstractNumId w:val="9"/>
  </w:num>
  <w:num w:numId="11">
    <w:abstractNumId w:val="0"/>
  </w:num>
  <w:num w:numId="12">
    <w:abstractNumId w:val="7"/>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270BE1"/>
    <w:rsid w:val="031E15C9"/>
    <w:rsid w:val="085F2E56"/>
    <w:rsid w:val="0A025D3C"/>
    <w:rsid w:val="0BCC62FA"/>
    <w:rsid w:val="16B965DF"/>
    <w:rsid w:val="1F811E74"/>
    <w:rsid w:val="288F1DAB"/>
    <w:rsid w:val="2B852ADC"/>
    <w:rsid w:val="2C5E3228"/>
    <w:rsid w:val="339E7474"/>
    <w:rsid w:val="437A3B85"/>
    <w:rsid w:val="4A8E6E5F"/>
    <w:rsid w:val="59B14FC6"/>
    <w:rsid w:val="672C1A82"/>
    <w:rsid w:val="763160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5">
    <w:name w:val="Default Paragraph Font"/>
    <w:semiHidden/>
    <w:qFormat/>
    <w:uiPriority w:val="0"/>
  </w:style>
  <w:style w:type="table" w:default="1" w:styleId="23">
    <w:name w:val="Normal Table"/>
    <w:semiHidden/>
    <w:qFormat/>
    <w:uiPriority w:val="0"/>
    <w:tblPr>
      <w:tblCellMar>
        <w:top w:w="0" w:type="dxa"/>
        <w:left w:w="108" w:type="dxa"/>
        <w:bottom w:w="0" w:type="dxa"/>
        <w:right w:w="108" w:type="dxa"/>
      </w:tblCellMar>
    </w:tblPr>
  </w:style>
  <w:style w:type="paragraph" w:styleId="11">
    <w:name w:val="caption"/>
    <w:basedOn w:val="1"/>
    <w:next w:val="1"/>
    <w:semiHidden/>
    <w:unhideWhenUsed/>
    <w:qFormat/>
    <w:uiPriority w:val="0"/>
    <w:rPr>
      <w:rFonts w:ascii="Arial" w:hAnsi="Arial" w:eastAsia="黑体"/>
      <w:sz w:val="20"/>
    </w:rPr>
  </w:style>
  <w:style w:type="paragraph" w:styleId="12">
    <w:name w:val="annotation text"/>
    <w:basedOn w:val="1"/>
    <w:qFormat/>
    <w:uiPriority w:val="0"/>
    <w:pPr>
      <w:jc w:val="left"/>
    </w:pPr>
  </w:style>
  <w:style w:type="paragraph" w:styleId="13">
    <w:name w:val="Body Text"/>
    <w:basedOn w:val="1"/>
    <w:semiHidden/>
    <w:qFormat/>
    <w:uiPriority w:val="0"/>
    <w:rPr>
      <w:rFonts w:ascii="Arial" w:hAnsi="Arial" w:eastAsia="Arial" w:cs="Arial"/>
      <w:sz w:val="21"/>
      <w:szCs w:val="21"/>
      <w:lang w:val="en-US" w:eastAsia="en-US" w:bidi="ar-SA"/>
    </w:rPr>
  </w:style>
  <w:style w:type="paragraph" w:styleId="14">
    <w:name w:val="toc 3"/>
    <w:basedOn w:val="1"/>
    <w:next w:val="1"/>
    <w:qFormat/>
    <w:uiPriority w:val="0"/>
    <w:pPr>
      <w:ind w:left="840" w:leftChars="400"/>
    </w:p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7">
    <w:name w:val="toc 1"/>
    <w:basedOn w:val="1"/>
    <w:next w:val="1"/>
    <w:qFormat/>
    <w:uiPriority w:val="0"/>
    <w:rPr>
      <w:rFonts w:ascii="Arial" w:hAnsi="Arial" w:eastAsia="Microsoft JhengHei"/>
      <w:sz w:val="24"/>
    </w:rPr>
  </w:style>
  <w:style w:type="paragraph" w:styleId="18">
    <w:name w:val="table of figures"/>
    <w:basedOn w:val="1"/>
    <w:next w:val="1"/>
    <w:qFormat/>
    <w:uiPriority w:val="0"/>
    <w:pPr>
      <w:ind w:leftChars="200" w:hanging="200" w:hangingChars="200"/>
    </w:pPr>
  </w:style>
  <w:style w:type="paragraph" w:styleId="19">
    <w:name w:val="toc 2"/>
    <w:basedOn w:val="1"/>
    <w:next w:val="1"/>
    <w:qFormat/>
    <w:uiPriority w:val="0"/>
    <w:pPr>
      <w:ind w:left="420" w:leftChars="200"/>
    </w:pPr>
  </w:style>
  <w:style w:type="paragraph" w:styleId="20">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21">
    <w:name w:val="Normal (Web)"/>
    <w:basedOn w:val="1"/>
    <w:qFormat/>
    <w:uiPriority w:val="0"/>
    <w:rPr>
      <w:sz w:val="24"/>
    </w:rPr>
  </w:style>
  <w:style w:type="paragraph" w:styleId="22">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4">
    <w:name w:val="Table Grid"/>
    <w:basedOn w:val="2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basedOn w:val="25"/>
    <w:qFormat/>
    <w:uiPriority w:val="0"/>
    <w:rPr>
      <w:b/>
    </w:rPr>
  </w:style>
  <w:style w:type="paragraph" w:customStyle="1" w:styleId="27">
    <w:name w:val="柴_公司名"/>
    <w:basedOn w:val="22"/>
    <w:qFormat/>
    <w:uiPriority w:val="0"/>
    <w:pPr>
      <w:spacing w:after="600" w:afterLines="600"/>
    </w:pPr>
    <w:rPr>
      <w:rFonts w:hint="eastAsia" w:ascii="宋体" w:hAnsi="宋体" w:eastAsia="宋体" w:cs="宋体"/>
      <w:bCs/>
      <w:spacing w:val="-6"/>
      <w:sz w:val="52"/>
      <w:szCs w:val="52"/>
    </w:rPr>
  </w:style>
  <w:style w:type="paragraph" w:customStyle="1" w:styleId="28">
    <w:name w:val="柴_文档名"/>
    <w:basedOn w:val="22"/>
    <w:qFormat/>
    <w:uiPriority w:val="0"/>
    <w:pPr>
      <w:spacing w:after="900" w:afterLines="900"/>
    </w:pPr>
    <w:rPr>
      <w:rFonts w:ascii="黑体" w:hAnsi="黑体" w:eastAsia="黑体" w:cs="黑体"/>
      <w:bCs/>
      <w:spacing w:val="-7"/>
      <w:sz w:val="52"/>
      <w:szCs w:val="52"/>
    </w:rPr>
  </w:style>
  <w:style w:type="table" w:customStyle="1" w:styleId="29">
    <w:name w:val="Table Normal_0"/>
    <w:semiHidden/>
    <w:unhideWhenUsed/>
    <w:qFormat/>
    <w:uiPriority w:val="0"/>
    <w:tblPr>
      <w:tblCellMar>
        <w:top w:w="0" w:type="dxa"/>
        <w:left w:w="0" w:type="dxa"/>
        <w:bottom w:w="0" w:type="dxa"/>
        <w:right w:w="0" w:type="dxa"/>
      </w:tblCellMar>
    </w:tblPr>
  </w:style>
  <w:style w:type="paragraph" w:customStyle="1" w:styleId="30">
    <w:name w:val="Table Text"/>
    <w:basedOn w:val="1"/>
    <w:semiHidden/>
    <w:qFormat/>
    <w:uiPriority w:val="0"/>
    <w:rPr>
      <w:rFonts w:ascii="宋体" w:hAnsi="宋体" w:eastAsia="宋体" w:cs="宋体"/>
      <w:sz w:val="21"/>
      <w:szCs w:val="21"/>
      <w:lang w:val="en-US" w:eastAsia="en-US" w:bidi="ar-SA"/>
    </w:rPr>
  </w:style>
  <w:style w:type="paragraph" w:customStyle="1" w:styleId="31">
    <w:name w:val="柴_标题1"/>
    <w:basedOn w:val="2"/>
    <w:next w:val="32"/>
    <w:link w:val="41"/>
    <w:qFormat/>
    <w:uiPriority w:val="0"/>
    <w:pPr>
      <w:spacing w:before="100" w:after="90" w:line="360" w:lineRule="auto"/>
    </w:pPr>
    <w:rPr>
      <w:rFonts w:ascii="Arial" w:hAnsi="Arial" w:eastAsia="宋体"/>
      <w:sz w:val="32"/>
    </w:rPr>
  </w:style>
  <w:style w:type="paragraph" w:customStyle="1" w:styleId="32">
    <w:name w:val="柴_正文"/>
    <w:basedOn w:val="13"/>
    <w:link w:val="44"/>
    <w:qFormat/>
    <w:uiPriority w:val="0"/>
    <w:pPr>
      <w:spacing w:line="360" w:lineRule="auto"/>
      <w:ind w:firstLine="470" w:firstLineChars="200"/>
    </w:pPr>
    <w:rPr>
      <w:rFonts w:ascii="Arial" w:hAnsi="Arial" w:eastAsia="宋体"/>
      <w:sz w:val="24"/>
      <w:lang w:eastAsia="zh-CN"/>
    </w:rPr>
  </w:style>
  <w:style w:type="paragraph" w:customStyle="1" w:styleId="33">
    <w:name w:val="柴_标题2"/>
    <w:basedOn w:val="3"/>
    <w:next w:val="32"/>
    <w:link w:val="47"/>
    <w:qFormat/>
    <w:uiPriority w:val="0"/>
    <w:pPr>
      <w:spacing w:line="360" w:lineRule="auto"/>
    </w:pPr>
    <w:rPr>
      <w:rFonts w:ascii="Arial" w:hAnsi="Arial" w:eastAsia="宋体"/>
      <w:sz w:val="28"/>
    </w:rPr>
  </w:style>
  <w:style w:type="paragraph" w:customStyle="1" w:styleId="34">
    <w:name w:val="柴_标题3"/>
    <w:basedOn w:val="4"/>
    <w:next w:val="32"/>
    <w:qFormat/>
    <w:uiPriority w:val="0"/>
    <w:pPr>
      <w:spacing w:line="360" w:lineRule="auto"/>
      <w:ind w:left="0" w:firstLine="472" w:firstLineChars="200"/>
    </w:pPr>
    <w:rPr>
      <w:rFonts w:ascii="宋体" w:hAnsi="宋体" w:eastAsia="宋体" w:cs="宋体"/>
      <w:spacing w:val="-2"/>
      <w:sz w:val="24"/>
      <w:szCs w:val="24"/>
    </w:rPr>
  </w:style>
  <w:style w:type="paragraph" w:customStyle="1" w:styleId="35">
    <w:name w:val="柴_目录"/>
    <w:basedOn w:val="1"/>
    <w:next w:val="13"/>
    <w:qFormat/>
    <w:uiPriority w:val="0"/>
    <w:pPr>
      <w:tabs>
        <w:tab w:val="right" w:leader="dot" w:pos="8442"/>
      </w:tabs>
      <w:ind w:left="0" w:leftChars="0"/>
    </w:pPr>
    <w:rPr>
      <w:rFonts w:ascii="Arial" w:hAnsi="Arial" w:eastAsia="Microsoft JhengHei"/>
      <w:sz w:val="24"/>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3"/>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31"/>
    <w:qFormat/>
    <w:uiPriority w:val="0"/>
    <w:rPr>
      <w:rFonts w:ascii="Arial" w:hAnsi="Arial" w:eastAsia="宋体"/>
      <w:sz w:val="32"/>
    </w:rPr>
  </w:style>
  <w:style w:type="paragraph" w:customStyle="1" w:styleId="42">
    <w:name w:val="柴_正文_无缩进"/>
    <w:basedOn w:val="1"/>
    <w:link w:val="46"/>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2"/>
    <w:qFormat/>
    <w:uiPriority w:val="0"/>
    <w:rPr>
      <w:rFonts w:ascii="Arial" w:hAnsi="Arial" w:eastAsia="宋体"/>
      <w:sz w:val="24"/>
      <w:lang w:eastAsia="zh-CN"/>
    </w:rPr>
  </w:style>
  <w:style w:type="table" w:customStyle="1" w:styleId="45">
    <w:name w:val="Table Normal_0_0"/>
    <w:semiHidden/>
    <w:unhideWhenUsed/>
    <w:qFormat/>
    <w:uiPriority w:val="0"/>
    <w:tblPr>
      <w:tblCellMar>
        <w:top w:w="0" w:type="dxa"/>
        <w:left w:w="0" w:type="dxa"/>
        <w:bottom w:w="0" w:type="dxa"/>
        <w:right w:w="0" w:type="dxa"/>
      </w:tblCellMar>
    </w:tblPr>
  </w:style>
  <w:style w:type="character" w:customStyle="1" w:styleId="46">
    <w:name w:val="柴_正文_无缩进 Char"/>
    <w:link w:val="42"/>
    <w:qFormat/>
    <w:uiPriority w:val="0"/>
    <w:rPr>
      <w:rFonts w:ascii="Arial" w:hAnsi="Arial"/>
      <w:sz w:val="24"/>
      <w:lang w:eastAsia="zh-CN"/>
    </w:rPr>
  </w:style>
  <w:style w:type="character" w:customStyle="1" w:styleId="47">
    <w:name w:val="柴_标题2 Char"/>
    <w:link w:val="33"/>
    <w:qFormat/>
    <w:uiPriority w:val="0"/>
    <w:rPr>
      <w:rFonts w:ascii="Arial" w:hAnsi="Arial" w:eastAsia="宋体"/>
      <w:sz w:val="28"/>
    </w:rPr>
  </w:style>
  <w:style w:type="character" w:customStyle="1" w:styleId="48">
    <w:name w:val="柴_题注 Char"/>
    <w:link w:val="49"/>
    <w:qFormat/>
    <w:uiPriority w:val="0"/>
  </w:style>
  <w:style w:type="paragraph" w:customStyle="1" w:styleId="49">
    <w:name w:val="柴_题注"/>
    <w:basedOn w:val="20"/>
    <w:link w:val="48"/>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29</Pages>
  <Words>2129</Words>
  <Characters>2566</Characters>
  <Lines>0</Lines>
  <Paragraphs>0</Paragraphs>
  <TotalTime>6</TotalTime>
  <ScaleCrop>false</ScaleCrop>
  <LinksUpToDate>false</LinksUpToDate>
  <CharactersWithSpaces>2826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2026-08-26T02:57:27Z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2052-12.1.0.28505</vt:lpwstr>
  </property>
  <property fmtid="{D5CDD505-2E9C-101B-9397-08002B2CF9AE}" pid="4" name="KSOTemplateDocerSaveRecord">
    <vt:lpwstr>eyJoZGlkIjoiMDY5NmFjMmM4ZTljMGJiZDAxN2JmYTc0NGI0NmFiNDgiLCJ1c2VySWQiOiIxMDc1MzgyOSJ9</vt:lpwstr>
  </property>
</Properties>
</file>