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运维服务过程框架管理制度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SFKJ-ITSS-0601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_Toc15377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_Toc15377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_Toc7034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_Toc7034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_Toc22800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术语</w:t>
          </w:r>
          <w:r>
            <w:tab/>
          </w:r>
          <w:r>
            <w:fldChar w:fldCharType="begin"/>
          </w:r>
          <w:r>
            <w:instrText xml:space="preserve"> PAGEREF _Toc22800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_Toc2316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职责分工</w:t>
          </w:r>
          <w:r>
            <w:tab/>
          </w:r>
          <w:r>
            <w:fldChar w:fldCharType="begin"/>
          </w:r>
          <w:r>
            <w:instrText xml:space="preserve"> PAGEREF _Toc2316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_Toc2644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运维服务过程框架</w:t>
          </w:r>
          <w:r>
            <w:tab/>
          </w:r>
          <w:r>
            <w:fldChar w:fldCharType="begin"/>
          </w:r>
          <w:r>
            <w:instrText xml:space="preserve"> PAGEREF _Toc2644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_Toc12409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服务规划与设计</w:t>
          </w:r>
          <w:r>
            <w:tab/>
          </w:r>
          <w:r>
            <w:fldChar w:fldCharType="begin"/>
          </w:r>
          <w:r>
            <w:instrText xml:space="preserve"> PAGEREF _Toc12409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_Toc26371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服务部署与实施</w:t>
          </w:r>
          <w:r>
            <w:tab/>
          </w:r>
          <w:r>
            <w:fldChar w:fldCharType="begin"/>
          </w:r>
          <w:r>
            <w:instrText xml:space="preserve"> PAGEREF _Toc26371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_Toc5033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服务运营与管理</w:t>
          </w:r>
          <w:r>
            <w:tab/>
          </w:r>
          <w:r>
            <w:fldChar w:fldCharType="begin"/>
          </w:r>
          <w:r>
            <w:instrText xml:space="preserve"> PAGEREF _Toc5033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_Toc31576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服务监控与改进</w:t>
          </w:r>
          <w:r>
            <w:tab/>
          </w:r>
          <w:r>
            <w:fldChar w:fldCharType="begin"/>
          </w:r>
          <w:r>
            <w:instrText xml:space="preserve"> PAGEREF _Toc31576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_Toc8215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管理要求</w:t>
          </w:r>
          <w:r>
            <w:tab/>
          </w:r>
          <w:r>
            <w:fldChar w:fldCharType="begin"/>
          </w:r>
          <w:r>
            <w:instrText xml:space="preserve"> PAGEREF _Toc8215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_Toc28773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奖惩机制</w:t>
          </w:r>
          <w:r>
            <w:tab/>
          </w:r>
          <w:r>
            <w:fldChar w:fldCharType="begin"/>
          </w:r>
          <w:r>
            <w:instrText xml:space="preserve"> PAGEREF _Toc28773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_Toc3590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KPI指标</w:t>
          </w:r>
          <w:r>
            <w:tab/>
          </w:r>
          <w:r>
            <w:fldChar w:fldCharType="begin"/>
          </w:r>
          <w:r>
            <w:instrText xml:space="preserve"> PAGEREF _Toc3590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_Toc27382 </w:instrText>
          </w:r>
          <w:r>
            <w:fldChar w:fldCharType="separate"/>
          </w:r>
          <w:r>
            <w:rPr>
              <w:rFonts w:hint="default"/>
            </w:rPr>
            <w:t xml:space="preserve">9. </w:t>
          </w:r>
          <w:r>
            <w:t>输出的文件及记录</w:t>
          </w:r>
          <w:r>
            <w:tab/>
          </w:r>
          <w:r>
            <w:fldChar w:fldCharType="begin"/>
          </w:r>
          <w:r>
            <w:instrText xml:space="preserve"> PAGEREF _Toc27382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_Toc28273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过程框架设计术语</w:t>
      </w:r>
      <w:r>
        <w:rPr>
          <w:rFonts w:hint="default"/>
          <w:lang w:val="en-US" w:eastAsia="zh-CN"/>
        </w:rPr>
        <w:t>表</w:t>
      </w:r>
      <w:r>
        <w:tab/>
      </w:r>
      <w:r>
        <w:fldChar w:fldCharType="begin"/>
      </w:r>
      <w:r>
        <w:instrText xml:space="preserve"> PAGEREF _Toc28273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_Toc13798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过程框架设计职责表</w:t>
      </w:r>
      <w:r>
        <w:tab/>
      </w:r>
      <w:r>
        <w:fldChar w:fldCharType="begin"/>
      </w:r>
      <w:r>
        <w:instrText xml:space="preserve"> PAGEREF _Toc13798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_Toc22567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服务规划与设计活动表</w:t>
      </w:r>
      <w:r>
        <w:tab/>
      </w:r>
      <w:r>
        <w:fldChar w:fldCharType="begin"/>
      </w:r>
      <w:r>
        <w:instrText xml:space="preserve"> PAGEREF _Toc22567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_Toc28457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</w:t>
      </w:r>
      <w:r>
        <w:t>服务部署与实施活动表</w:t>
      </w:r>
      <w:r>
        <w:tab/>
      </w:r>
      <w:r>
        <w:fldChar w:fldCharType="begin"/>
      </w:r>
      <w:r>
        <w:instrText xml:space="preserve"> PAGEREF _Toc28457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_Toc21806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 </w:t>
      </w:r>
      <w:r>
        <w:t>服务运营与管理活动表</w:t>
      </w:r>
      <w:r>
        <w:tab/>
      </w:r>
      <w:r>
        <w:fldChar w:fldCharType="begin"/>
      </w:r>
      <w:r>
        <w:instrText xml:space="preserve"> PAGEREF _Toc21806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_Toc19524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</w:t>
      </w:r>
      <w:r>
        <w:t>服务监控与改进活动表</w:t>
      </w:r>
      <w:r>
        <w:tab/>
      </w:r>
      <w:r>
        <w:fldChar w:fldCharType="begin"/>
      </w:r>
      <w:r>
        <w:instrText xml:space="preserve"> PAGEREF _Toc19524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_Toc2775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过程框架管理要求表</w:t>
      </w:r>
      <w:r>
        <w:tab/>
      </w:r>
      <w:r>
        <w:fldChar w:fldCharType="begin"/>
      </w:r>
      <w:r>
        <w:instrText xml:space="preserve"> PAGEREF _Toc2775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_Toc7602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 </w:t>
      </w:r>
      <w:r>
        <w:t>过程框架奖惩机制表</w:t>
      </w:r>
      <w:r>
        <w:tab/>
      </w:r>
      <w:r>
        <w:fldChar w:fldCharType="begin"/>
      </w:r>
      <w:r>
        <w:instrText xml:space="preserve"> PAGEREF _Toc7602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_Toc21283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KPI指标表</w:t>
      </w:r>
      <w:r>
        <w:tab/>
      </w:r>
      <w:r>
        <w:fldChar w:fldCharType="begin"/>
      </w:r>
      <w:r>
        <w:instrText xml:space="preserve"> PAGEREF _Toc21283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_Toc16410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r>
        <w:tab/>
      </w:r>
      <w:r>
        <w:fldChar w:fldCharType="begin"/>
      </w:r>
      <w:r>
        <w:instrText xml:space="preserve"> PAGEREF _Toc16410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>
      <w:pPr>
        <w:pStyle w:val="TableofFigures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>TOC \h \c "图"</w:instrText>
      </w:r>
      <w:r>
        <w:fldChar w:fldCharType="separate"/>
      </w:r>
      <w:r>
        <w:fldChar w:fldCharType="begin"/>
      </w:r>
      <w:r>
        <w:instrText xml:space="preserve"> HYPERLINK \l _Toc22062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</w:t>
      </w:r>
      <w:r>
        <w:t>运维服务过程框架图</w:t>
      </w:r>
      <w:r>
        <w:tab/>
      </w:r>
      <w:r>
        <w:fldChar w:fldCharType="begin"/>
      </w:r>
      <w:r>
        <w:instrText xml:space="preserve"> PAGEREF _Toc22062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15377"/>
      <w:r>
        <w:t>目的</w:t>
      </w:r>
      <w:bookmarkEnd w:id="1"/>
      <w:bookmarkEnd w:id="2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为规范公司IT服务管理流程，确保运维服务全面符合信息技术服务标准（ITSS），持续提升运维服务的质量与执行效率，有效降低IT系统运行风险，为公司业务的稳定开展提供坚实的IT支撑。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7034"/>
      <w:bookmarkStart w:id="4" w:name="heading_3"/>
      <w:r>
        <w:t>适用范围</w:t>
      </w:r>
      <w:bookmarkEnd w:id="3"/>
      <w:bookmarkEnd w:id="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覆盖公司内部所有涉及IT运维服务的部门与相关人员，包括运维部、研发部、质量部、人力部，同时适用于公司全部IT系统及各类运维服务流程。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2800"/>
      <w:bookmarkStart w:id="6" w:name="heading_4"/>
      <w:r>
        <w:t>术语</w:t>
      </w:r>
      <w:bookmarkEnd w:id="5"/>
      <w:bookmarkEnd w:id="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7" w:name="_Toc28273"/>
      <w:bookmarkStart w:id="8" w:name="_Toc15905"/>
      <w:bookmarkStart w:id="9" w:name="_Toc18262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过程框架设计术语</w:t>
      </w:r>
      <w:r>
        <w:rPr>
          <w:rFonts w:hint="default"/>
          <w:lang w:val="en-US" w:eastAsia="zh-CN"/>
        </w:rPr>
        <w:t>表</w:t>
      </w:r>
      <w:bookmarkEnd w:id="7"/>
      <w:bookmarkEnd w:id="8"/>
      <w:bookmarkEnd w:id="9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239"/>
        <w:gridCol w:w="628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23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术语</w:t>
            </w:r>
          </w:p>
        </w:tc>
        <w:tc>
          <w:tcPr>
            <w:tcW w:w="628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定义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运维服务过程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为保障IT系统正常运行，按既定计划有序开展的服务规划设计、部署实施、运营管理、监控改进等一系列系统性活动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服务级别协议（SLA）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明确运维服务质量标准、响应时限、服务范围等核心内容的正式协议，是判定服务是否达标的关键依据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过程框架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对运维服务中所有管理流程的系统化组织，包括过程清单、过程关系、过程管理要求等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23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配置管理数据库（CMDB）</w:t>
            </w:r>
          </w:p>
        </w:tc>
        <w:tc>
          <w:tcPr>
            <w:tcW w:w="628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存储所有配置项及其相互关系的数据库，为其他运维流程提供配置信息支撑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5"/>
      <w:bookmarkStart w:id="11" w:name="_Toc2316"/>
      <w:r>
        <w:t>职责分工</w:t>
      </w:r>
      <w:bookmarkEnd w:id="10"/>
      <w:bookmarkEnd w:id="1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13798"/>
      <w:r>
        <w:rPr>
          <w:rFonts w:hint="eastAsia"/>
          <w:lang w:val="en-US" w:eastAsia="zh-CN"/>
        </w:rPr>
        <w:t xml:space="preserve"> </w:t>
      </w:r>
      <w:r>
        <w:t>过程框架设计职责表</w:t>
      </w:r>
      <w:bookmarkEnd w:id="1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55"/>
        <w:gridCol w:w="706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70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运维部</w:t>
            </w:r>
          </w:p>
        </w:tc>
        <w:tc>
          <w:tcPr>
            <w:tcW w:w="70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负责制定并持续完善运维服务过程框架相关管理制度；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牵头组织服务规划设计、部署实施、运营管理、监控改进等核心活动；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承担运维服务团队的日常管理与专业培训工作，提升团队整体专业素质与服务能力；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监督并评估运维服务过程的执行情况，确保服务符合ITSS要求及SLA约定。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研发部</w:t>
            </w:r>
          </w:p>
        </w:tc>
        <w:tc>
          <w:tcPr>
            <w:tcW w:w="70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参与运维服务过程的技术方案设计；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提供技术工具和平台的部署支持；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参与复杂技术问题的分析和解决。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质量部</w:t>
            </w:r>
          </w:p>
        </w:tc>
        <w:tc>
          <w:tcPr>
            <w:tcW w:w="70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监督运维服务过程的执行符合性；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参与过程评审和服务质量评估；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提出过程改进建议。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5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人力部</w:t>
            </w:r>
          </w:p>
        </w:tc>
        <w:tc>
          <w:tcPr>
            <w:tcW w:w="70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协调跨部门资源，支持过程框架的实施；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组织过程相关的培训活动。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6"/>
      <w:bookmarkStart w:id="14" w:name="_Toc2644"/>
      <w:r>
        <w:t>运维服务过程框架</w:t>
      </w:r>
      <w:bookmarkEnd w:id="13"/>
      <w:bookmarkEnd w:id="1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公司运维服务过程框架分为四个核心阶段，各阶段相互关联、持续循环，形成完整的PDCA闭环。</w:t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22062"/>
      <w:r>
        <w:rPr>
          <w:rFonts w:hint="eastAsia"/>
          <w:lang w:val="en-US" w:eastAsia="zh-CN"/>
        </w:rPr>
        <w:t xml:space="preserve"> </w:t>
      </w:r>
      <w:r>
        <w:t>运维服务过程框架图</w:t>
      </w:r>
      <w:bookmarkEnd w:id="15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eastAsia"/>
          <w:lang w:eastAsia="zh-CN"/>
        </w:rPr>
      </w:pPr>
      <w:r>
        <w:rPr>
          <w:rFonts w:eastAsia="宋体" w:hint="eastAsia"/>
          <w:lang w:eastAsia="zh-CN"/>
        </w:rPr>
        <w:obje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height:281pt;width:419.15pt" o:oleicon="f" o:ole="" coordsize="21600,21600" o:preferrelative="t" filled="f" stroked="f">
            <v:imagedata r:id="rId4" o:title=""/>
            <o:lock v:ext="edit" aspectratio="t"/>
            <w10:anchorlock/>
          </v:shape>
          <o:OLEObject Type="Embed" ProgID="Visio.Drawing.15" ShapeID="_x0000_i1025" DrawAspect="Content" ObjectID="_1468075725" r:id="rId5"/>
        </w:object>
      </w:r>
      <w:bookmarkStart w:id="16" w:name="_GoBack"/>
      <w:bookmarkEnd w:id="1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7"/>
      <w:bookmarkStart w:id="18" w:name="_Toc12409"/>
      <w:r>
        <w:t>服务规划与设计</w:t>
      </w:r>
      <w:bookmarkEnd w:id="17"/>
      <w:bookmarkEnd w:id="18"/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9" w:name="_Toc22567"/>
      <w:r>
        <w:rPr>
          <w:rFonts w:hint="eastAsia"/>
          <w:lang w:val="en-US" w:eastAsia="zh-CN"/>
        </w:rPr>
        <w:t xml:space="preserve"> </w:t>
      </w:r>
      <w:r>
        <w:t>服务规划与设计活动表</w:t>
      </w:r>
      <w:bookmarkEnd w:id="19"/>
    </w:p>
    <w:tbl>
      <w:tblPr>
        <w:tblStyle w:val="TableNormal"/>
        <w:tblW w:w="779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75"/>
        <w:gridCol w:w="6519"/>
      </w:tblGrid>
      <w:tr>
        <w:tblPrEx>
          <w:tblW w:w="779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活动项</w:t>
            </w:r>
          </w:p>
        </w:tc>
        <w:tc>
          <w:tcPr>
            <w:tcW w:w="651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>
        <w:tblPrEx>
          <w:tblW w:w="779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核心目标</w:t>
            </w:r>
          </w:p>
        </w:tc>
        <w:tc>
          <w:tcPr>
            <w:tcW w:w="65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结合公司业务需求与IT战略规划，制定适配性强、可落地的运维服务方案</w:t>
            </w:r>
          </w:p>
        </w:tc>
      </w:tr>
      <w:tr>
        <w:tblPrEx>
          <w:tblW w:w="779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关键活动</w:t>
            </w:r>
          </w:p>
        </w:tc>
        <w:tc>
          <w:tcPr>
            <w:tcW w:w="65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全面分析业务对IT系统在功能、性能、可用性等方面的具体需求；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构建IT运维服务战略体系，设计配套的组织、流程、技术及资源架构；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与相关方协商确定并签订服务级别协议（SLA）；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识别运维服务所需的关键资源和技术能力。</w:t>
            </w:r>
          </w:p>
        </w:tc>
      </w:tr>
      <w:tr>
        <w:tblPrEx>
          <w:tblW w:w="779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输入</w:t>
            </w:r>
          </w:p>
        </w:tc>
        <w:tc>
          <w:tcPr>
            <w:tcW w:w="65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业务需求、客户合同、SLA要求、公司战略规划</w:t>
            </w:r>
          </w:p>
        </w:tc>
      </w:tr>
      <w:tr>
        <w:tblPrEx>
          <w:tblW w:w="779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输出</w:t>
            </w:r>
          </w:p>
        </w:tc>
        <w:tc>
          <w:tcPr>
            <w:tcW w:w="651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业务需求分析报告、运维服务战略规划书、服务架构设计方案、服务级别协议（SLA）</w:t>
            </w:r>
          </w:p>
        </w:tc>
      </w:tr>
      <w:tr>
        <w:tblPrEx>
          <w:tblW w:w="779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7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责任部门</w:t>
            </w:r>
          </w:p>
        </w:tc>
        <w:tc>
          <w:tcPr>
            <w:tcW w:w="651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运维部、业务部门（需求方）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26371"/>
      <w:bookmarkStart w:id="21" w:name="heading_8"/>
      <w:r>
        <w:t>服务部署与实施</w:t>
      </w:r>
      <w:bookmarkEnd w:id="20"/>
      <w:bookmarkEnd w:id="21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2" w:name="_Toc28457"/>
      <w:r>
        <w:rPr>
          <w:rFonts w:hint="eastAsia"/>
          <w:lang w:val="en-US" w:eastAsia="zh-CN"/>
        </w:rPr>
        <w:t xml:space="preserve"> </w:t>
      </w:r>
      <w:r>
        <w:t>服务部署与实施活动表</w:t>
      </w:r>
      <w:bookmarkEnd w:id="2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255"/>
        <w:gridCol w:w="7267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活动项</w:t>
            </w:r>
          </w:p>
        </w:tc>
        <w:tc>
          <w:tcPr>
            <w:tcW w:w="726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核心目标</w:t>
            </w:r>
          </w:p>
        </w:tc>
        <w:tc>
          <w:tcPr>
            <w:tcW w:w="72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将规划阶段制定的方案全面落地，配齐运维服务所需的人员、工具与各类资源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关键活动</w:t>
            </w:r>
          </w:p>
        </w:tc>
        <w:tc>
          <w:tcPr>
            <w:tcW w:w="72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组建专业运维团队，明确各成员的岗位职责与工作分工；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部署监控系统、故障管理工具等必要的技术支撑工具；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制定详细的流程操作规范，并组织团队开展专项培训；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完成硬件设备、软件系统、网络环境等服务资源的配置与调试。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输入</w:t>
            </w:r>
          </w:p>
        </w:tc>
        <w:tc>
          <w:tcPr>
            <w:tcW w:w="72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服务架构设计方案、资源配置清单、人员岗位说明书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输出</w:t>
            </w:r>
          </w:p>
        </w:tc>
        <w:tc>
          <w:tcPr>
            <w:tcW w:w="726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团队组建方案、工具部署报告、流程操作规范手册、资源配置清单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255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责任部门</w:t>
            </w:r>
          </w:p>
        </w:tc>
        <w:tc>
          <w:tcPr>
            <w:tcW w:w="726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运维部、研发部、人力部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9"/>
      <w:bookmarkStart w:id="24" w:name="_Toc5033"/>
      <w:r>
        <w:t>服务运营与管理</w:t>
      </w:r>
      <w:bookmarkEnd w:id="23"/>
      <w:bookmarkEnd w:id="24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25" w:name="_Toc21806"/>
      <w:r>
        <w:rPr>
          <w:rFonts w:hint="eastAsia"/>
          <w:lang w:val="en-US" w:eastAsia="zh-CN"/>
        </w:rPr>
        <w:t xml:space="preserve">  </w:t>
      </w:r>
      <w:r>
        <w:t>服务运营与管理活动表</w:t>
      </w:r>
      <w:bookmarkEnd w:id="25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83"/>
        <w:gridCol w:w="7339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jc w:val="center"/>
              <w:textAlignment w:val="baseline"/>
            </w:pPr>
            <w:r>
              <w:t>活动项</w:t>
            </w:r>
          </w:p>
        </w:tc>
        <w:tc>
          <w:tcPr>
            <w:tcW w:w="7339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jc w:val="center"/>
              <w:textAlignment w:val="baseline"/>
            </w:pPr>
            <w: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核心目标</w:t>
            </w:r>
          </w:p>
        </w:tc>
        <w:tc>
          <w:tcPr>
            <w:tcW w:w="73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严格按照SLA约定提供稳定、高效的运维服务，保障IT系统持续正常运行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关键活动</w:t>
            </w:r>
          </w:p>
        </w:tc>
        <w:tc>
          <w:tcPr>
            <w:tcW w:w="73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常态化开展系统巡检、故障排查与处理、补丁更新及配置管理工作；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及时响应并处理用户提出的各类服务请求；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做好业务部门与供应商之间的协调沟通，规范管理服务合同；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执行变更管理、发布管理、配置管理等核心运维流程。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输入</w:t>
            </w:r>
          </w:p>
        </w:tc>
        <w:tc>
          <w:tcPr>
            <w:tcW w:w="73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SLA约定、事件记录、变更请求、配置信息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输出</w:t>
            </w:r>
          </w:p>
        </w:tc>
        <w:tc>
          <w:tcPr>
            <w:tcW w:w="7339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运维操作记录表、故障处理报告、服务请求处理台账、合同管理报告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8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责任部门</w:t>
            </w:r>
          </w:p>
        </w:tc>
        <w:tc>
          <w:tcPr>
            <w:tcW w:w="733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运维部、研发部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0"/>
      <w:bookmarkStart w:id="27" w:name="_Toc31576"/>
      <w:r>
        <w:t>服务监控与改进</w:t>
      </w:r>
      <w:bookmarkEnd w:id="26"/>
      <w:bookmarkEnd w:id="27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28" w:name="_Toc19524"/>
      <w:r>
        <w:rPr>
          <w:rFonts w:hint="eastAsia"/>
          <w:lang w:val="en-US" w:eastAsia="zh-CN"/>
        </w:rPr>
        <w:t xml:space="preserve"> </w:t>
      </w:r>
      <w:r>
        <w:t>服务监控与改进活动表</w:t>
      </w:r>
      <w:bookmarkEnd w:id="28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59"/>
        <w:gridCol w:w="7063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活动项</w:t>
            </w:r>
          </w:p>
        </w:tc>
        <w:tc>
          <w:tcPr>
            <w:tcW w:w="706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核心目标</w:t>
            </w:r>
          </w:p>
        </w:tc>
        <w:tc>
          <w:tcPr>
            <w:tcW w:w="7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持续监控运维服务全过程，及时发现问题并推动优化，不断提升服务水平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关键活动</w:t>
            </w:r>
          </w:p>
        </w:tc>
        <w:tc>
          <w:tcPr>
            <w:tcW w:w="7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建立覆盖服务质量、系统性能、数据安全等维度的监控指标体系；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定期收集、整理并分析监控数据，生成详细的监控报告；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组织开展服务质量评审会议，制定针对性改进计划并跟踪落实；</w:t>
            </w:r>
          </w:p>
          <w:p>
            <w:pPr>
              <w:pStyle w:val="a2"/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根据业务需求变化及服务执行情况，评估并调整SLA内容。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输入</w:t>
            </w:r>
          </w:p>
        </w:tc>
        <w:tc>
          <w:tcPr>
            <w:tcW w:w="7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KPI数据、监控数据、事件记录、客户反馈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输出</w:t>
            </w:r>
          </w:p>
        </w:tc>
        <w:tc>
          <w:tcPr>
            <w:tcW w:w="706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监控指标体系文件、服务监控报告、服务改进计划、SLA评估调整报告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5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88" w:lineRule="auto"/>
              <w:ind w:left="0"/>
              <w:jc w:val="left"/>
              <w:textAlignment w:val="baseline"/>
            </w:pPr>
            <w:r>
              <w:rPr>
                <w:rFonts w:ascii="Arial" w:eastAsia="等线" w:hAnsi="Arial" w:cs="Arial"/>
                <w:b/>
                <w:sz w:val="22"/>
              </w:rPr>
              <w:t>责任部门</w:t>
            </w:r>
          </w:p>
        </w:tc>
        <w:tc>
          <w:tcPr>
            <w:tcW w:w="706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运维部、质量部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11"/>
      <w:bookmarkStart w:id="30" w:name="_Toc8215"/>
      <w:r>
        <w:t>管理要求</w:t>
      </w:r>
      <w:bookmarkEnd w:id="29"/>
      <w:bookmarkEnd w:id="3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1" w:name="_Toc2775"/>
      <w:r>
        <w:rPr>
          <w:rFonts w:hint="eastAsia"/>
          <w:lang w:val="en-US" w:eastAsia="zh-CN"/>
        </w:rPr>
        <w:t xml:space="preserve"> </w:t>
      </w:r>
      <w:r>
        <w:t>过程框架管理要求表</w:t>
      </w:r>
      <w:bookmarkEnd w:id="31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8"/>
        <w:gridCol w:w="7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778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管理要求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77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各部门及相关人员必须严格遵守本制度规定，规范开展各项工作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77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运维服务过程中产生的所有记录、报告需保证真实、完整、准确，并按公司规定分类存档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77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定期对运维服务过程开展审计与评估工作，发现问题立即启动整改流程，确保服务持续合规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778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过程框架的建立和调整需经过评审和批准，确保与ITSS标准要求一致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77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</w:pPr>
            <w:r>
              <w:t>各过程的执行情况应纳入月度服务报告，定期向管理层汇报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2"/>
      <w:bookmarkStart w:id="33" w:name="_Toc28773"/>
      <w:r>
        <w:t>奖惩机制</w:t>
      </w:r>
      <w:bookmarkEnd w:id="32"/>
      <w:bookmarkEnd w:id="33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4" w:name="_Toc7602"/>
      <w:r>
        <w:rPr>
          <w:rFonts w:hint="eastAsia"/>
          <w:lang w:val="en-US" w:eastAsia="zh-CN"/>
        </w:rPr>
        <w:t xml:space="preserve">  </w:t>
      </w:r>
      <w:r>
        <w:t>过程框架奖惩机制表</w:t>
      </w:r>
      <w:bookmarkEnd w:id="34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37"/>
        <w:gridCol w:w="778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778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奖励</w:t>
            </w:r>
          </w:p>
        </w:tc>
        <w:tc>
          <w:tcPr>
            <w:tcW w:w="77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对在提升运维服务质量、提高服务效率等方面有突出贡献的部门或个人，公司将予以公开表彰并给予相应奖励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 w:hAnsi="Arial" w:cs="Arial"/>
                <w:b/>
                <w:sz w:val="24"/>
              </w:rPr>
              <w:t>惩罚</w:t>
            </w:r>
          </w:p>
        </w:tc>
        <w:tc>
          <w:tcPr>
            <w:tcW w:w="77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pStyle w:val="a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baseline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对违反本制度规定，导致服务质量下降、造成公司损失的部门或个人，按公司相关管理规定予以处罚</w:t>
            </w:r>
          </w:p>
        </w:tc>
      </w:tr>
    </w:tbl>
    <w:p>
      <w:pPr>
        <w:rPr>
          <w:rFonts w:hint="default"/>
          <w:lang w:val="en-US" w:eastAsia="zh-CN"/>
        </w:rPr>
      </w:pPr>
      <w:bookmarkStart w:id="35" w:name="_Toc251"/>
      <w:bookmarkStart w:id="36" w:name="_Toc3590"/>
      <w:r>
        <w:rPr>
          <w:rFonts w:hint="default"/>
          <w:lang w:val="en-US" w:eastAsia="zh-CN"/>
        </w:rPr>
        <w:br w:type="page"/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KPI指标</w:t>
      </w:r>
      <w:bookmarkEnd w:id="35"/>
      <w:bookmarkEnd w:id="36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7" w:name="_Toc21283"/>
      <w:r>
        <w:rPr>
          <w:rFonts w:hint="default"/>
          <w:lang w:val="en-US" w:eastAsia="zh-CN"/>
        </w:rPr>
        <w:t xml:space="preserve"> KPI指标表</w:t>
      </w:r>
      <w:bookmarkEnd w:id="37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24"/>
        <w:gridCol w:w="3587"/>
        <w:gridCol w:w="1099"/>
        <w:gridCol w:w="1312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252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</w:t>
            </w: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名称</w:t>
            </w:r>
          </w:p>
        </w:tc>
        <w:tc>
          <w:tcPr>
            <w:tcW w:w="358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指标计算</w:t>
            </w: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方式</w:t>
            </w:r>
          </w:p>
        </w:tc>
        <w:tc>
          <w:tcPr>
            <w:tcW w:w="109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131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ascii="Segoe UI" w:eastAsia="Segoe UI" w:hAnsi="Segoe UI" w:cs="Segoe UI" w:hint="eastAsia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考核频次</w:t>
            </w:r>
          </w:p>
        </w:tc>
      </w:tr>
      <w:tr>
        <w:tblPrEx>
          <w:tblW w:w="8522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252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过程框架评价次数</w:t>
            </w:r>
          </w:p>
        </w:tc>
        <w:tc>
          <w:tcPr>
            <w:tcW w:w="358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年度内过程框架评价次数统计</w:t>
            </w:r>
          </w:p>
        </w:tc>
        <w:tc>
          <w:tcPr>
            <w:tcW w:w="109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default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≥</w:t>
            </w: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1次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宋体" w:hAnsi="Arial"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cs="Arial" w:hint="eastAsia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  <w:t>年度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_Toc27382"/>
      <w:bookmarkStart w:id="39" w:name="heading_35"/>
      <w:bookmarkStart w:id="40" w:name="_Toc21034"/>
      <w:r>
        <w:t>输出的文件及记录</w:t>
      </w:r>
      <w:bookmarkEnd w:id="38"/>
      <w:bookmarkEnd w:id="39"/>
      <w:bookmarkEnd w:id="40"/>
    </w:p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eastAsia="宋体"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1" w:name="_Toc16410"/>
      <w:bookmarkStart w:id="42" w:name="_Toc1810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输出文件和记录表</w:t>
      </w:r>
      <w:bookmarkEnd w:id="41"/>
      <w:bookmarkEnd w:id="42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6137"/>
        <w:gridCol w:w="2385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613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文件和记录</w:t>
            </w:r>
          </w:p>
        </w:tc>
        <w:tc>
          <w:tcPr>
            <w:tcW w:w="238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责任部门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1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《过程框架设计方案》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1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《过程框架设计需求报告》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13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《过程框架评审记录》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质量部</w:t>
            </w:r>
          </w:p>
        </w:tc>
      </w:tr>
      <w:tr>
        <w:tblPrEx>
          <w:tblW w:w="8522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613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《过程框架改进计划》</w:t>
            </w:r>
          </w:p>
        </w:tc>
        <w:tc>
          <w:tcPr>
            <w:tcW w:w="23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</w:t>
            </w:r>
          </w:p>
        </w:tc>
      </w:tr>
    </w:tbl>
    <w:p>
      <w:pPr>
        <w:pStyle w:val="a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6C9E49"/>
    <w:multiLevelType w:val="singleLevel"/>
    <w:tmpl w:val="8E6C9E49"/>
    <w:lvl w:ilvl="0">
      <w:start w:val="1"/>
      <w:numFmt w:val="decimal"/>
      <w:suff w:val="nothing"/>
      <w:lvlText w:val="（%1）"/>
      <w:lvlJc w:val="left"/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26CAB3A"/>
    <w:multiLevelType w:val="singleLevel"/>
    <w:tmpl w:val="926CAB3A"/>
    <w:lvl w:ilvl="0">
      <w:start w:val="1"/>
      <w:numFmt w:val="decimal"/>
      <w:suff w:val="nothing"/>
      <w:lvlText w:val="（%1）"/>
      <w:lvlJc w:val="left"/>
    </w:lvl>
  </w:abstractNum>
  <w:abstractNum w:abstractNumId="3">
    <w:nsid w:val="94F59E07"/>
    <w:multiLevelType w:val="singleLevel"/>
    <w:tmpl w:val="94F59E07"/>
    <w:lvl w:ilvl="0">
      <w:start w:val="1"/>
      <w:numFmt w:val="decimal"/>
      <w:suff w:val="nothing"/>
      <w:lvlText w:val="（%1）"/>
      <w:lvlJc w:val="left"/>
    </w:lvl>
  </w:abstractNum>
  <w:abstractNum w:abstractNumId="4">
    <w:nsid w:val="1E2F6DCD"/>
    <w:multiLevelType w:val="singleLevel"/>
    <w:tmpl w:val="1E2F6DCD"/>
    <w:lvl w:ilvl="0">
      <w:start w:val="1"/>
      <w:numFmt w:val="decimal"/>
      <w:suff w:val="nothing"/>
      <w:lvlText w:val="（%1）"/>
      <w:lvlJc w:val="left"/>
    </w:lvl>
  </w:abstractNum>
  <w:abstractNum w:abstractNumId="5">
    <w:nsid w:val="5A3E9F97"/>
    <w:multiLevelType w:val="singleLevel"/>
    <w:tmpl w:val="5A3E9F97"/>
    <w:lvl w:ilvl="0">
      <w:start w:val="1"/>
      <w:numFmt w:val="decimal"/>
      <w:suff w:val="nothing"/>
      <w:lvlText w:val="（%1）"/>
      <w:lvlJc w:val="left"/>
    </w:lvl>
  </w:abstractNum>
  <w:abstractNum w:abstractNumId="6">
    <w:nsid w:val="6A1658FB"/>
    <w:multiLevelType w:val="singleLevel"/>
    <w:tmpl w:val="6A1658FB"/>
    <w:lvl w:ilvl="0">
      <w:start w:val="1"/>
      <w:numFmt w:val="decimal"/>
      <w:suff w:val="nothing"/>
      <w:lvlText w:val="（%1）"/>
      <w:lvlJc w:val="left"/>
    </w:lvl>
  </w:abstractNum>
  <w:abstractNum w:abstractNumId="7">
    <w:nsid w:val="6EECEBCB"/>
    <w:multiLevelType w:val="singleLevel"/>
    <w:tmpl w:val="6EECEBCB"/>
    <w:lvl w:ilvl="0">
      <w:start w:val="1"/>
      <w:numFmt w:val="decimal"/>
      <w:suff w:val="nothing"/>
      <w:lvlText w:val="（%1）"/>
      <w:lvlJc w:val="left"/>
    </w:lvl>
  </w:abstractNum>
  <w:abstractNum w:abstractNumId="8">
    <w:nsid w:val="7799E57F"/>
    <w:multiLevelType w:val="singleLevel"/>
    <w:tmpl w:val="7799E57F"/>
    <w:lvl w:ilvl="0">
      <w:start w:val="1"/>
      <w:numFmt w:val="decimal"/>
      <w:suff w:val="nothing"/>
      <w:lvlText w:val="（%1）"/>
      <w:lvlJc w:val="left"/>
    </w:lvl>
  </w:abstractNum>
  <w:num w:numId="1">
    <w:abstractNumId w:val="1"/>
  </w:num>
  <w:num w:numId="2">
    <w:abstractNumId w:val="7"/>
  </w:num>
  <w:num w:numId="3">
    <w:abstractNumId w:val="8"/>
  </w:num>
  <w:num w:numId="4">
    <w:abstractNumId w:val="2"/>
  </w:num>
  <w:num w:numId="5">
    <w:abstractNumId w:val="0"/>
  </w:num>
  <w:num w:numId="6">
    <w:abstractNumId w:val="6"/>
  </w:num>
  <w:num w:numId="7">
    <w:abstractNumId w:val="5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文档修订信息"/>
    <w:basedOn w:val="Normal"/>
    <w:qFormat/>
    <w:pPr>
      <w:widowControl w:val="0"/>
      <w:ind w:firstLine="470" w:firstLineChars="200"/>
      <w:jc w:val="center"/>
    </w:pPr>
    <w:rPr>
      <w:rFonts w:ascii="Arial" w:hAnsi="Arial" w:hint="eastAsia"/>
      <w:b/>
      <w:bCs/>
      <w:sz w:val="24"/>
      <w:lang w:eastAsia="zh-CN"/>
    </w:rPr>
  </w:style>
  <w:style w:type="paragraph" w:customStyle="1" w:styleId="a0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1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2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2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2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2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3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4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2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4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5"/>
    <w:qFormat/>
  </w:style>
  <w:style w:type="paragraph" w:customStyle="1" w:styleId="a5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emf" /><Relationship Id="rId5" Type="http://schemas.openxmlformats.org/officeDocument/2006/relationships/oleObject" Target="embeddings/oleObject1.bin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9</Pages>
  <Words>2023</Words>
  <Characters>2182</Characters>
  <Application>Microsoft Office Word</Application>
  <DocSecurity>0</DocSecurity>
  <Lines>0</Lines>
  <Paragraphs>0</Paragraphs>
  <ScaleCrop>false</ScaleCrop>
  <Company/>
  <LinksUpToDate>false</LinksUpToDate>
  <CharactersWithSpaces>2271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2026-06-11T02:46:15Z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