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bookmarkStart w:id="1" w:name="_GoBack"/>
      <w:r>
        <w:rPr>
          <w:rFonts w:hint="eastAsia"/>
          <w:lang w:val="en-US" w:eastAsia="zh-CN"/>
        </w:rPr>
        <w:t>‌数飞科技(宁波)有限公司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运维服务报告管理制度</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SFKJ-ITSS-0603</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汪锦坤</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2026.1.3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马盛艳</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陶飞</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2026.1.3</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汪锦坤</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67065"/>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tabs>
              <w:tab w:val="right" w:leader="dot" w:pos="8306"/>
            </w:tabs>
          </w:pPr>
          <w:r>
            <w:fldChar w:fldCharType="begin"/>
          </w:r>
          <w:r>
            <w:instrText xml:space="preserve">TOC \o "1-3" \h \u </w:instrText>
          </w:r>
          <w:r>
            <w:fldChar w:fldCharType="separate"/>
          </w:r>
          <w:r>
            <w:fldChar w:fldCharType="begin"/>
          </w:r>
          <w:r>
            <w:instrText xml:space="preserve"> HYPERLINK \l _Toc5566 </w:instrText>
          </w:r>
          <w:r>
            <w:fldChar w:fldCharType="separate"/>
          </w:r>
          <w:r>
            <w:rPr>
              <w:rFonts w:hint="default"/>
              <w:lang w:val="en-US" w:eastAsia="zh-CN"/>
            </w:rPr>
            <w:t>1. 目的</w:t>
          </w:r>
          <w:r>
            <w:tab/>
          </w:r>
          <w:r>
            <w:fldChar w:fldCharType="begin"/>
          </w:r>
          <w:r>
            <w:instrText xml:space="preserve"> PAGEREF _Toc5566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_Toc27982 </w:instrText>
          </w:r>
          <w:r>
            <w:fldChar w:fldCharType="separate"/>
          </w:r>
          <w:r>
            <w:rPr>
              <w:rFonts w:hint="default"/>
              <w:lang w:val="en-US" w:eastAsia="zh-CN"/>
            </w:rPr>
            <w:t>2. 范围</w:t>
          </w:r>
          <w:r>
            <w:tab/>
          </w:r>
          <w:r>
            <w:fldChar w:fldCharType="begin"/>
          </w:r>
          <w:r>
            <w:instrText xml:space="preserve"> PAGEREF _Toc27982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_Toc21427 </w:instrText>
          </w:r>
          <w:r>
            <w:fldChar w:fldCharType="separate"/>
          </w:r>
          <w:r>
            <w:rPr>
              <w:rFonts w:hint="default"/>
              <w:lang w:val="en-US" w:eastAsia="zh-CN"/>
            </w:rPr>
            <w:t>3. 术语与定义</w:t>
          </w:r>
          <w:r>
            <w:tab/>
          </w:r>
          <w:r>
            <w:fldChar w:fldCharType="begin"/>
          </w:r>
          <w:r>
            <w:instrText xml:space="preserve"> PAGEREF _Toc21427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_Toc25273 </w:instrText>
          </w:r>
          <w:r>
            <w:fldChar w:fldCharType="separate"/>
          </w:r>
          <w:r>
            <w:rPr>
              <w:rFonts w:hint="default"/>
              <w:lang w:val="en-US" w:eastAsia="zh-CN"/>
            </w:rPr>
            <w:t>4. 角色与职责</w:t>
          </w:r>
          <w:r>
            <w:tab/>
          </w:r>
          <w:r>
            <w:fldChar w:fldCharType="begin"/>
          </w:r>
          <w:r>
            <w:instrText xml:space="preserve"> PAGEREF _Toc25273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_Toc4790 </w:instrText>
          </w:r>
          <w:r>
            <w:fldChar w:fldCharType="separate"/>
          </w:r>
          <w:r>
            <w:rPr>
              <w:rFonts w:hint="default"/>
              <w:lang w:val="en-US" w:eastAsia="zh-CN"/>
            </w:rPr>
            <w:t>5. 服务报告管理流程与其他流程的关系</w:t>
          </w:r>
          <w:r>
            <w:tab/>
          </w:r>
          <w:r>
            <w:fldChar w:fldCharType="begin"/>
          </w:r>
          <w:r>
            <w:instrText xml:space="preserve"> PAGEREF _Toc4790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_Toc16511 </w:instrText>
          </w:r>
          <w:r>
            <w:fldChar w:fldCharType="separate"/>
          </w:r>
          <w:r>
            <w:rPr>
              <w:rFonts w:hint="default"/>
              <w:lang w:val="en-US" w:eastAsia="zh-CN"/>
            </w:rPr>
            <w:t>5.1. 与服务级别管理的关系</w:t>
          </w:r>
          <w:r>
            <w:tab/>
          </w:r>
          <w:r>
            <w:fldChar w:fldCharType="begin"/>
          </w:r>
          <w:r>
            <w:instrText xml:space="preserve"> PAGEREF _Toc16511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_Toc16152 </w:instrText>
          </w:r>
          <w:r>
            <w:fldChar w:fldCharType="separate"/>
          </w:r>
          <w:r>
            <w:rPr>
              <w:rFonts w:hint="default"/>
              <w:lang w:val="en-US" w:eastAsia="zh-CN"/>
            </w:rPr>
            <w:t>5.2. 与事件管理的关系</w:t>
          </w:r>
          <w:r>
            <w:tab/>
          </w:r>
          <w:r>
            <w:fldChar w:fldCharType="begin"/>
          </w:r>
          <w:r>
            <w:instrText xml:space="preserve"> PAGEREF _Toc16152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_Toc10209 </w:instrText>
          </w:r>
          <w:r>
            <w:fldChar w:fldCharType="separate"/>
          </w:r>
          <w:r>
            <w:rPr>
              <w:rFonts w:hint="default"/>
              <w:lang w:val="en-US" w:eastAsia="zh-CN"/>
            </w:rPr>
            <w:t>5.3. 与问题管理的关系</w:t>
          </w:r>
          <w:r>
            <w:tab/>
          </w:r>
          <w:r>
            <w:fldChar w:fldCharType="begin"/>
          </w:r>
          <w:r>
            <w:instrText xml:space="preserve"> PAGEREF _Toc10209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_Toc2683 </w:instrText>
          </w:r>
          <w:r>
            <w:fldChar w:fldCharType="separate"/>
          </w:r>
          <w:r>
            <w:rPr>
              <w:rFonts w:hint="default"/>
              <w:lang w:val="en-US" w:eastAsia="zh-CN"/>
            </w:rPr>
            <w:t>5.4. 与变更管理的关系</w:t>
          </w:r>
          <w:r>
            <w:tab/>
          </w:r>
          <w:r>
            <w:fldChar w:fldCharType="begin"/>
          </w:r>
          <w:r>
            <w:instrText xml:space="preserve"> PAGEREF _Toc2683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_Toc27577 </w:instrText>
          </w:r>
          <w:r>
            <w:fldChar w:fldCharType="separate"/>
          </w:r>
          <w:r>
            <w:rPr>
              <w:rFonts w:hint="default"/>
              <w:lang w:val="en-US" w:eastAsia="zh-CN"/>
            </w:rPr>
            <w:t>5.5. 与配置管理的关系</w:t>
          </w:r>
          <w:r>
            <w:tab/>
          </w:r>
          <w:r>
            <w:fldChar w:fldCharType="begin"/>
          </w:r>
          <w:r>
            <w:instrText xml:space="preserve"> PAGEREF _Toc27577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_Toc19727 </w:instrText>
          </w:r>
          <w:r>
            <w:fldChar w:fldCharType="separate"/>
          </w:r>
          <w:r>
            <w:rPr>
              <w:rFonts w:hint="default"/>
              <w:lang w:val="en-US" w:eastAsia="zh-CN"/>
            </w:rPr>
            <w:t>5.6. 与能力管理的关系</w:t>
          </w:r>
          <w:r>
            <w:tab/>
          </w:r>
          <w:r>
            <w:fldChar w:fldCharType="begin"/>
          </w:r>
          <w:r>
            <w:instrText xml:space="preserve"> PAGEREF _Toc19727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_Toc31051 </w:instrText>
          </w:r>
          <w:r>
            <w:fldChar w:fldCharType="separate"/>
          </w:r>
          <w:r>
            <w:rPr>
              <w:rFonts w:hint="default"/>
              <w:lang w:val="en-US" w:eastAsia="zh-CN"/>
            </w:rPr>
            <w:t>5.7. 与应急管理的关系</w:t>
          </w:r>
          <w:r>
            <w:tab/>
          </w:r>
          <w:r>
            <w:fldChar w:fldCharType="begin"/>
          </w:r>
          <w:r>
            <w:instrText xml:space="preserve"> PAGEREF _Toc31051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_Toc9618 </w:instrText>
          </w:r>
          <w:r>
            <w:fldChar w:fldCharType="separate"/>
          </w:r>
          <w:r>
            <w:rPr>
              <w:rFonts w:hint="default"/>
              <w:lang w:val="en-US" w:eastAsia="zh-CN"/>
            </w:rPr>
            <w:t>5.8. 与满意度管理的关系</w:t>
          </w:r>
          <w:r>
            <w:tab/>
          </w:r>
          <w:r>
            <w:fldChar w:fldCharType="begin"/>
          </w:r>
          <w:r>
            <w:instrText xml:space="preserve"> PAGEREF _Toc9618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_Toc26814 </w:instrText>
          </w:r>
          <w:r>
            <w:fldChar w:fldCharType="separate"/>
          </w:r>
          <w:r>
            <w:rPr>
              <w:rFonts w:hint="default"/>
              <w:lang w:val="en-US" w:eastAsia="zh-CN"/>
            </w:rPr>
            <w:t>5.9. 与质量管理的关系</w:t>
          </w:r>
          <w:r>
            <w:tab/>
          </w:r>
          <w:r>
            <w:fldChar w:fldCharType="begin"/>
          </w:r>
          <w:r>
            <w:instrText xml:space="preserve"> PAGEREF _Toc26814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_Toc30306 </w:instrText>
          </w:r>
          <w:r>
            <w:fldChar w:fldCharType="separate"/>
          </w:r>
          <w:r>
            <w:rPr>
              <w:rFonts w:hint="default"/>
              <w:lang w:val="en-US" w:eastAsia="zh-CN"/>
            </w:rPr>
            <w:t>5.10. 与持续改进的关系</w:t>
          </w:r>
          <w:r>
            <w:tab/>
          </w:r>
          <w:r>
            <w:fldChar w:fldCharType="begin"/>
          </w:r>
          <w:r>
            <w:instrText xml:space="preserve"> PAGEREF _Toc30306 \h </w:instrText>
          </w:r>
          <w:r>
            <w:fldChar w:fldCharType="separate"/>
          </w:r>
          <w:r>
            <w:t>8</w:t>
          </w:r>
          <w:r>
            <w:fldChar w:fldCharType="end"/>
          </w:r>
          <w:r>
            <w:fldChar w:fldCharType="end"/>
          </w:r>
        </w:p>
        <w:p>
          <w:pPr>
            <w:pStyle w:val="TOC1"/>
            <w:tabs>
              <w:tab w:val="right" w:leader="dot" w:pos="8306"/>
            </w:tabs>
          </w:pPr>
          <w:r>
            <w:fldChar w:fldCharType="begin"/>
          </w:r>
          <w:r>
            <w:instrText xml:space="preserve"> HYPERLINK \l _Toc31337 </w:instrText>
          </w:r>
          <w:r>
            <w:fldChar w:fldCharType="separate"/>
          </w:r>
          <w:r>
            <w:rPr>
              <w:rFonts w:hint="default"/>
              <w:lang w:val="en-US" w:eastAsia="zh-CN"/>
            </w:rPr>
            <w:t>6. 服务报告分类与内容</w:t>
          </w:r>
          <w:r>
            <w:tab/>
          </w:r>
          <w:r>
            <w:fldChar w:fldCharType="begin"/>
          </w:r>
          <w:r>
            <w:instrText xml:space="preserve"> PAGEREF _Toc31337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_Toc4141 </w:instrText>
          </w:r>
          <w:r>
            <w:fldChar w:fldCharType="separate"/>
          </w:r>
          <w:r>
            <w:rPr>
              <w:rFonts w:hint="default"/>
              <w:lang w:val="en-US" w:eastAsia="zh-CN"/>
            </w:rPr>
            <w:t>6.1. 服务报告分类</w:t>
          </w:r>
          <w:r>
            <w:tab/>
          </w:r>
          <w:r>
            <w:fldChar w:fldCharType="begin"/>
          </w:r>
          <w:r>
            <w:instrText xml:space="preserve"> PAGEREF _Toc4141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_Toc12102 </w:instrText>
          </w:r>
          <w:r>
            <w:fldChar w:fldCharType="separate"/>
          </w:r>
          <w:r>
            <w:rPr>
              <w:rFonts w:hint="default"/>
              <w:lang w:val="en-US" w:eastAsia="zh-CN"/>
            </w:rPr>
            <w:t>6.2. 服务报告内容要求</w:t>
          </w:r>
          <w:r>
            <w:tab/>
          </w:r>
          <w:r>
            <w:fldChar w:fldCharType="begin"/>
          </w:r>
          <w:r>
            <w:instrText xml:space="preserve"> PAGEREF _Toc12102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_Toc7931 </w:instrText>
          </w:r>
          <w:r>
            <w:fldChar w:fldCharType="separate"/>
          </w:r>
          <w:r>
            <w:rPr>
              <w:rFonts w:hint="default"/>
              <w:lang w:val="en-US" w:eastAsia="zh-CN"/>
            </w:rPr>
            <w:t xml:space="preserve">6.3. </w:t>
          </w:r>
          <w:r>
            <w:rPr>
              <w:rFonts w:hint="eastAsia"/>
              <w:lang w:val="en-US" w:eastAsia="zh-CN"/>
            </w:rPr>
            <w:t>服务报告编制原则</w:t>
          </w:r>
          <w:r>
            <w:tab/>
          </w:r>
          <w:r>
            <w:fldChar w:fldCharType="begin"/>
          </w:r>
          <w:r>
            <w:instrText xml:space="preserve"> PAGEREF _Toc7931 \h </w:instrText>
          </w:r>
          <w:r>
            <w:fldChar w:fldCharType="separate"/>
          </w:r>
          <w:r>
            <w:t>10</w:t>
          </w:r>
          <w:r>
            <w:fldChar w:fldCharType="end"/>
          </w:r>
          <w:r>
            <w:fldChar w:fldCharType="end"/>
          </w:r>
        </w:p>
        <w:p>
          <w:pPr>
            <w:pStyle w:val="TOC1"/>
            <w:tabs>
              <w:tab w:val="right" w:leader="dot" w:pos="8306"/>
            </w:tabs>
          </w:pPr>
          <w:r>
            <w:fldChar w:fldCharType="begin"/>
          </w:r>
          <w:r>
            <w:instrText xml:space="preserve"> HYPERLINK \l _Toc24144 </w:instrText>
          </w:r>
          <w:r>
            <w:fldChar w:fldCharType="separate"/>
          </w:r>
          <w:r>
            <w:rPr>
              <w:rFonts w:hint="default"/>
              <w:lang w:val="en-US" w:eastAsia="zh-CN"/>
            </w:rPr>
            <w:t>7. 服务报告管理流程</w:t>
          </w:r>
          <w:r>
            <w:tab/>
          </w:r>
          <w:r>
            <w:fldChar w:fldCharType="begin"/>
          </w:r>
          <w:r>
            <w:instrText xml:space="preserve"> PAGEREF _Toc24144 \h </w:instrText>
          </w:r>
          <w:r>
            <w:fldChar w:fldCharType="separate"/>
          </w:r>
          <w:r>
            <w:t>10</w:t>
          </w:r>
          <w:r>
            <w:fldChar w:fldCharType="end"/>
          </w:r>
          <w:r>
            <w:fldChar w:fldCharType="end"/>
          </w:r>
        </w:p>
        <w:p>
          <w:pPr>
            <w:pStyle w:val="TOC1"/>
            <w:tabs>
              <w:tab w:val="right" w:leader="dot" w:pos="8306"/>
            </w:tabs>
          </w:pPr>
          <w:r>
            <w:fldChar w:fldCharType="begin"/>
          </w:r>
          <w:r>
            <w:instrText xml:space="preserve"> HYPERLINK \l _Toc21667 </w:instrText>
          </w:r>
          <w:r>
            <w:fldChar w:fldCharType="separate"/>
          </w:r>
          <w:r>
            <w:rPr>
              <w:rFonts w:hint="default"/>
              <w:lang w:val="en-US" w:eastAsia="zh-CN"/>
            </w:rPr>
            <w:t>8. 过程描述</w:t>
          </w:r>
          <w:r>
            <w:tab/>
          </w:r>
          <w:r>
            <w:fldChar w:fldCharType="begin"/>
          </w:r>
          <w:r>
            <w:instrText xml:space="preserve"> PAGEREF _Toc21667 \h </w:instrText>
          </w:r>
          <w:r>
            <w:fldChar w:fldCharType="separate"/>
          </w:r>
          <w:r>
            <w:t>12</w:t>
          </w:r>
          <w:r>
            <w:fldChar w:fldCharType="end"/>
          </w:r>
          <w:r>
            <w:fldChar w:fldCharType="end"/>
          </w:r>
        </w:p>
        <w:p>
          <w:pPr>
            <w:pStyle w:val="TOC2"/>
            <w:tabs>
              <w:tab w:val="right" w:leader="dot" w:pos="8306"/>
            </w:tabs>
          </w:pPr>
          <w:r>
            <w:fldChar w:fldCharType="begin"/>
          </w:r>
          <w:r>
            <w:instrText xml:space="preserve"> HYPERLINK \l _Toc30113 </w:instrText>
          </w:r>
          <w:r>
            <w:fldChar w:fldCharType="separate"/>
          </w:r>
          <w:r>
            <w:rPr>
              <w:rFonts w:hint="default"/>
              <w:lang w:val="en-US" w:eastAsia="zh-CN"/>
            </w:rPr>
            <w:t>8.1. 识别报告要素</w:t>
          </w:r>
          <w:r>
            <w:tab/>
          </w:r>
          <w:r>
            <w:fldChar w:fldCharType="begin"/>
          </w:r>
          <w:r>
            <w:instrText xml:space="preserve"> PAGEREF _Toc30113 \h </w:instrText>
          </w:r>
          <w:r>
            <w:fldChar w:fldCharType="separate"/>
          </w:r>
          <w:r>
            <w:t>12</w:t>
          </w:r>
          <w:r>
            <w:fldChar w:fldCharType="end"/>
          </w:r>
          <w:r>
            <w:fldChar w:fldCharType="end"/>
          </w:r>
        </w:p>
        <w:p>
          <w:pPr>
            <w:pStyle w:val="TOC2"/>
            <w:tabs>
              <w:tab w:val="right" w:leader="dot" w:pos="8306"/>
            </w:tabs>
          </w:pPr>
          <w:r>
            <w:fldChar w:fldCharType="begin"/>
          </w:r>
          <w:r>
            <w:instrText xml:space="preserve"> HYPERLINK \l _Toc25590 </w:instrText>
          </w:r>
          <w:r>
            <w:fldChar w:fldCharType="separate"/>
          </w:r>
          <w:r>
            <w:rPr>
              <w:rFonts w:hint="default"/>
              <w:lang w:val="en-US" w:eastAsia="zh-CN"/>
            </w:rPr>
            <w:t>8.2. 收集分析报告数据</w:t>
          </w:r>
          <w:r>
            <w:tab/>
          </w:r>
          <w:r>
            <w:fldChar w:fldCharType="begin"/>
          </w:r>
          <w:r>
            <w:instrText xml:space="preserve"> PAGEREF _Toc25590 \h </w:instrText>
          </w:r>
          <w:r>
            <w:fldChar w:fldCharType="separate"/>
          </w:r>
          <w:r>
            <w:t>12</w:t>
          </w:r>
          <w:r>
            <w:fldChar w:fldCharType="end"/>
          </w:r>
          <w:r>
            <w:fldChar w:fldCharType="end"/>
          </w:r>
        </w:p>
        <w:p>
          <w:pPr>
            <w:pStyle w:val="TOC2"/>
            <w:tabs>
              <w:tab w:val="right" w:leader="dot" w:pos="8306"/>
            </w:tabs>
          </w:pPr>
          <w:r>
            <w:fldChar w:fldCharType="begin"/>
          </w:r>
          <w:r>
            <w:instrText xml:space="preserve"> HYPERLINK \l _Toc19832 </w:instrText>
          </w:r>
          <w:r>
            <w:fldChar w:fldCharType="separate"/>
          </w:r>
          <w:r>
            <w:rPr>
              <w:rFonts w:hint="default"/>
              <w:lang w:val="en-US" w:eastAsia="zh-CN"/>
            </w:rPr>
            <w:t>8.3. 编写服务报告</w:t>
          </w:r>
          <w:r>
            <w:tab/>
          </w:r>
          <w:r>
            <w:fldChar w:fldCharType="begin"/>
          </w:r>
          <w:r>
            <w:instrText xml:space="preserve"> PAGEREF _Toc19832 \h </w:instrText>
          </w:r>
          <w:r>
            <w:fldChar w:fldCharType="separate"/>
          </w:r>
          <w:r>
            <w:t>13</w:t>
          </w:r>
          <w:r>
            <w:fldChar w:fldCharType="end"/>
          </w:r>
          <w:r>
            <w:fldChar w:fldCharType="end"/>
          </w:r>
        </w:p>
        <w:p>
          <w:pPr>
            <w:pStyle w:val="TOC2"/>
            <w:tabs>
              <w:tab w:val="right" w:leader="dot" w:pos="8306"/>
            </w:tabs>
          </w:pPr>
          <w:r>
            <w:fldChar w:fldCharType="begin"/>
          </w:r>
          <w:r>
            <w:instrText xml:space="preserve"> HYPERLINK \l _Toc14878 </w:instrText>
          </w:r>
          <w:r>
            <w:fldChar w:fldCharType="separate"/>
          </w:r>
          <w:r>
            <w:rPr>
              <w:rFonts w:hint="default"/>
              <w:lang w:val="en-US" w:eastAsia="zh-CN"/>
            </w:rPr>
            <w:t>8.4. 服务报告评审</w:t>
          </w:r>
          <w:r>
            <w:tab/>
          </w:r>
          <w:r>
            <w:fldChar w:fldCharType="begin"/>
          </w:r>
          <w:r>
            <w:instrText xml:space="preserve"> PAGEREF _Toc14878 \h </w:instrText>
          </w:r>
          <w:r>
            <w:fldChar w:fldCharType="separate"/>
          </w:r>
          <w:r>
            <w:t>13</w:t>
          </w:r>
          <w:r>
            <w:fldChar w:fldCharType="end"/>
          </w:r>
          <w:r>
            <w:fldChar w:fldCharType="end"/>
          </w:r>
        </w:p>
        <w:p>
          <w:pPr>
            <w:pStyle w:val="TOC2"/>
            <w:tabs>
              <w:tab w:val="right" w:leader="dot" w:pos="8306"/>
            </w:tabs>
          </w:pPr>
          <w:r>
            <w:fldChar w:fldCharType="begin"/>
          </w:r>
          <w:r>
            <w:instrText xml:space="preserve"> HYPERLINK \l _Toc25757 </w:instrText>
          </w:r>
          <w:r>
            <w:fldChar w:fldCharType="separate"/>
          </w:r>
          <w:r>
            <w:rPr>
              <w:rFonts w:hint="default"/>
              <w:lang w:val="en-US" w:eastAsia="zh-CN"/>
            </w:rPr>
            <w:t>8.5. 服务报告审批</w:t>
          </w:r>
          <w:r>
            <w:tab/>
          </w:r>
          <w:r>
            <w:fldChar w:fldCharType="begin"/>
          </w:r>
          <w:r>
            <w:instrText xml:space="preserve"> PAGEREF _Toc25757 \h </w:instrText>
          </w:r>
          <w:r>
            <w:fldChar w:fldCharType="separate"/>
          </w:r>
          <w:r>
            <w:t>13</w:t>
          </w:r>
          <w:r>
            <w:fldChar w:fldCharType="end"/>
          </w:r>
          <w:r>
            <w:fldChar w:fldCharType="end"/>
          </w:r>
        </w:p>
        <w:p>
          <w:pPr>
            <w:pStyle w:val="TOC2"/>
            <w:tabs>
              <w:tab w:val="right" w:leader="dot" w:pos="8306"/>
            </w:tabs>
          </w:pPr>
          <w:r>
            <w:fldChar w:fldCharType="begin"/>
          </w:r>
          <w:r>
            <w:instrText xml:space="preserve"> HYPERLINK \l _Toc4091 </w:instrText>
          </w:r>
          <w:r>
            <w:fldChar w:fldCharType="separate"/>
          </w:r>
          <w:r>
            <w:rPr>
              <w:rFonts w:hint="default"/>
              <w:lang w:val="en-US" w:eastAsia="zh-CN"/>
            </w:rPr>
            <w:t>8.6. 提交/分发服务报告</w:t>
          </w:r>
          <w:r>
            <w:tab/>
          </w:r>
          <w:r>
            <w:fldChar w:fldCharType="begin"/>
          </w:r>
          <w:r>
            <w:instrText xml:space="preserve"> PAGEREF _Toc4091 \h </w:instrText>
          </w:r>
          <w:r>
            <w:fldChar w:fldCharType="separate"/>
          </w:r>
          <w:r>
            <w:t>14</w:t>
          </w:r>
          <w:r>
            <w:fldChar w:fldCharType="end"/>
          </w:r>
          <w:r>
            <w:fldChar w:fldCharType="end"/>
          </w:r>
        </w:p>
        <w:p>
          <w:pPr>
            <w:pStyle w:val="TOC1"/>
            <w:tabs>
              <w:tab w:val="right" w:leader="dot" w:pos="8306"/>
            </w:tabs>
          </w:pPr>
          <w:r>
            <w:fldChar w:fldCharType="begin"/>
          </w:r>
          <w:r>
            <w:instrText xml:space="preserve"> HYPERLINK \l _Toc22717 </w:instrText>
          </w:r>
          <w:r>
            <w:fldChar w:fldCharType="separate"/>
          </w:r>
          <w:r>
            <w:rPr>
              <w:rFonts w:hint="default"/>
              <w:lang w:val="en-US" w:eastAsia="zh-CN"/>
            </w:rPr>
            <w:t>9. 服务报告分发活动</w:t>
          </w:r>
          <w:r>
            <w:tab/>
          </w:r>
          <w:r>
            <w:fldChar w:fldCharType="begin"/>
          </w:r>
          <w:r>
            <w:instrText xml:space="preserve"> PAGEREF _Toc22717 \h </w:instrText>
          </w:r>
          <w:r>
            <w:fldChar w:fldCharType="separate"/>
          </w:r>
          <w:r>
            <w:t>14</w:t>
          </w:r>
          <w:r>
            <w:fldChar w:fldCharType="end"/>
          </w:r>
          <w:r>
            <w:fldChar w:fldCharType="end"/>
          </w:r>
        </w:p>
        <w:p>
          <w:pPr>
            <w:pStyle w:val="TOC2"/>
            <w:tabs>
              <w:tab w:val="right" w:leader="dot" w:pos="8306"/>
            </w:tabs>
          </w:pPr>
          <w:r>
            <w:fldChar w:fldCharType="begin"/>
          </w:r>
          <w:r>
            <w:instrText xml:space="preserve"> HYPERLINK \l _Toc31635 </w:instrText>
          </w:r>
          <w:r>
            <w:fldChar w:fldCharType="separate"/>
          </w:r>
          <w:r>
            <w:rPr>
              <w:rFonts w:hint="default"/>
              <w:lang w:val="en-US" w:eastAsia="zh-CN"/>
            </w:rPr>
            <w:t>9.1. 服务报告分发矩阵</w:t>
          </w:r>
          <w:r>
            <w:tab/>
          </w:r>
          <w:r>
            <w:fldChar w:fldCharType="begin"/>
          </w:r>
          <w:r>
            <w:instrText xml:space="preserve"> PAGEREF _Toc31635 \h </w:instrText>
          </w:r>
          <w:r>
            <w:fldChar w:fldCharType="separate"/>
          </w:r>
          <w:r>
            <w:t>14</w:t>
          </w:r>
          <w:r>
            <w:fldChar w:fldCharType="end"/>
          </w:r>
          <w:r>
            <w:fldChar w:fldCharType="end"/>
          </w:r>
        </w:p>
        <w:p>
          <w:pPr>
            <w:pStyle w:val="TOC2"/>
            <w:tabs>
              <w:tab w:val="right" w:leader="dot" w:pos="8306"/>
            </w:tabs>
          </w:pPr>
          <w:r>
            <w:fldChar w:fldCharType="begin"/>
          </w:r>
          <w:r>
            <w:instrText xml:space="preserve"> HYPERLINK \l _Toc17066 </w:instrText>
          </w:r>
          <w:r>
            <w:fldChar w:fldCharType="separate"/>
          </w:r>
          <w:r>
            <w:rPr>
              <w:rFonts w:hint="default"/>
              <w:lang w:val="en-US" w:eastAsia="zh-CN"/>
            </w:rPr>
            <w:t>9.2. 分发要求</w:t>
          </w:r>
          <w:r>
            <w:tab/>
          </w:r>
          <w:r>
            <w:fldChar w:fldCharType="begin"/>
          </w:r>
          <w:r>
            <w:instrText xml:space="preserve"> PAGEREF _Toc17066 \h </w:instrText>
          </w:r>
          <w:r>
            <w:fldChar w:fldCharType="separate"/>
          </w:r>
          <w:r>
            <w:t>14</w:t>
          </w:r>
          <w:r>
            <w:fldChar w:fldCharType="end"/>
          </w:r>
          <w:r>
            <w:fldChar w:fldCharType="end"/>
          </w:r>
        </w:p>
        <w:p>
          <w:pPr>
            <w:pStyle w:val="TOC1"/>
            <w:tabs>
              <w:tab w:val="right" w:leader="dot" w:pos="8306"/>
            </w:tabs>
          </w:pPr>
          <w:r>
            <w:fldChar w:fldCharType="begin"/>
          </w:r>
          <w:r>
            <w:instrText xml:space="preserve"> HYPERLINK \l _Toc10699 </w:instrText>
          </w:r>
          <w:r>
            <w:fldChar w:fldCharType="separate"/>
          </w:r>
          <w:r>
            <w:rPr>
              <w:rFonts w:hint="default"/>
              <w:lang w:val="en-US" w:eastAsia="zh-CN"/>
            </w:rPr>
            <w:t>10. 服务报告评审与改进</w:t>
          </w:r>
          <w:r>
            <w:tab/>
          </w:r>
          <w:r>
            <w:fldChar w:fldCharType="begin"/>
          </w:r>
          <w:r>
            <w:instrText xml:space="preserve"> PAGEREF _Toc10699 \h </w:instrText>
          </w:r>
          <w:r>
            <w:fldChar w:fldCharType="separate"/>
          </w:r>
          <w:r>
            <w:t>14</w:t>
          </w:r>
          <w:r>
            <w:fldChar w:fldCharType="end"/>
          </w:r>
          <w:r>
            <w:fldChar w:fldCharType="end"/>
          </w:r>
        </w:p>
        <w:p>
          <w:pPr>
            <w:pStyle w:val="TOC2"/>
            <w:tabs>
              <w:tab w:val="right" w:leader="dot" w:pos="8306"/>
            </w:tabs>
          </w:pPr>
          <w:r>
            <w:fldChar w:fldCharType="begin"/>
          </w:r>
          <w:r>
            <w:instrText xml:space="preserve"> HYPERLINK \l _Toc7594 </w:instrText>
          </w:r>
          <w:r>
            <w:fldChar w:fldCharType="separate"/>
          </w:r>
          <w:r>
            <w:rPr>
              <w:rFonts w:hint="default"/>
              <w:lang w:val="en-US" w:eastAsia="zh-CN"/>
            </w:rPr>
            <w:t>10.1. 定期评审</w:t>
          </w:r>
          <w:r>
            <w:tab/>
          </w:r>
          <w:r>
            <w:fldChar w:fldCharType="begin"/>
          </w:r>
          <w:r>
            <w:instrText xml:space="preserve"> PAGEREF _Toc7594 \h </w:instrText>
          </w:r>
          <w:r>
            <w:fldChar w:fldCharType="separate"/>
          </w:r>
          <w:r>
            <w:t>15</w:t>
          </w:r>
          <w:r>
            <w:fldChar w:fldCharType="end"/>
          </w:r>
          <w:r>
            <w:fldChar w:fldCharType="end"/>
          </w:r>
        </w:p>
        <w:p>
          <w:pPr>
            <w:pStyle w:val="TOC2"/>
            <w:tabs>
              <w:tab w:val="right" w:leader="dot" w:pos="8306"/>
            </w:tabs>
          </w:pPr>
          <w:r>
            <w:fldChar w:fldCharType="begin"/>
          </w:r>
          <w:r>
            <w:instrText xml:space="preserve"> HYPERLINK \l _Toc27384 </w:instrText>
          </w:r>
          <w:r>
            <w:fldChar w:fldCharType="separate"/>
          </w:r>
          <w:r>
            <w:rPr>
              <w:rFonts w:hint="default"/>
              <w:lang w:val="en-US" w:eastAsia="zh-CN"/>
            </w:rPr>
            <w:t>10.2. 服务报告评审表</w:t>
          </w:r>
          <w:r>
            <w:tab/>
          </w:r>
          <w:r>
            <w:fldChar w:fldCharType="begin"/>
          </w:r>
          <w:r>
            <w:instrText xml:space="preserve"> PAGEREF _Toc27384 \h </w:instrText>
          </w:r>
          <w:r>
            <w:fldChar w:fldCharType="separate"/>
          </w:r>
          <w:r>
            <w:t>15</w:t>
          </w:r>
          <w:r>
            <w:fldChar w:fldCharType="end"/>
          </w:r>
          <w:r>
            <w:fldChar w:fldCharType="end"/>
          </w:r>
        </w:p>
        <w:p>
          <w:pPr>
            <w:pStyle w:val="TOC2"/>
            <w:tabs>
              <w:tab w:val="right" w:leader="dot" w:pos="8306"/>
            </w:tabs>
          </w:pPr>
          <w:r>
            <w:fldChar w:fldCharType="begin"/>
          </w:r>
          <w:r>
            <w:instrText xml:space="preserve"> HYPERLINK \l _Toc23100 </w:instrText>
          </w:r>
          <w:r>
            <w:fldChar w:fldCharType="separate"/>
          </w:r>
          <w:r>
            <w:rPr>
              <w:rFonts w:hint="default"/>
              <w:lang w:val="en-US" w:eastAsia="zh-CN"/>
            </w:rPr>
            <w:t>10.3. 改进机制</w:t>
          </w:r>
          <w:r>
            <w:tab/>
          </w:r>
          <w:r>
            <w:fldChar w:fldCharType="begin"/>
          </w:r>
          <w:r>
            <w:instrText xml:space="preserve"> PAGEREF _Toc23100 \h </w:instrText>
          </w:r>
          <w:r>
            <w:fldChar w:fldCharType="separate"/>
          </w:r>
          <w:r>
            <w:t>15</w:t>
          </w:r>
          <w:r>
            <w:fldChar w:fldCharType="end"/>
          </w:r>
          <w:r>
            <w:fldChar w:fldCharType="end"/>
          </w:r>
        </w:p>
        <w:p>
          <w:pPr>
            <w:pStyle w:val="TOC1"/>
            <w:tabs>
              <w:tab w:val="right" w:leader="dot" w:pos="8306"/>
            </w:tabs>
          </w:pPr>
          <w:r>
            <w:fldChar w:fldCharType="begin"/>
          </w:r>
          <w:r>
            <w:instrText xml:space="preserve"> HYPERLINK \l _Toc20760 </w:instrText>
          </w:r>
          <w:r>
            <w:fldChar w:fldCharType="separate"/>
          </w:r>
          <w:r>
            <w:rPr>
              <w:rFonts w:hint="default"/>
              <w:lang w:val="en-US" w:eastAsia="zh-CN"/>
            </w:rPr>
            <w:t>11. KPI指标</w:t>
          </w:r>
          <w:r>
            <w:tab/>
          </w:r>
          <w:r>
            <w:fldChar w:fldCharType="begin"/>
          </w:r>
          <w:r>
            <w:instrText xml:space="preserve"> PAGEREF _Toc20760 \h </w:instrText>
          </w:r>
          <w:r>
            <w:fldChar w:fldCharType="separate"/>
          </w:r>
          <w:r>
            <w:t>16</w:t>
          </w:r>
          <w:r>
            <w:fldChar w:fldCharType="end"/>
          </w:r>
          <w:r>
            <w:fldChar w:fldCharType="end"/>
          </w:r>
        </w:p>
        <w:p>
          <w:pPr>
            <w:pStyle w:val="TOC1"/>
            <w:tabs>
              <w:tab w:val="right" w:leader="dot" w:pos="8306"/>
            </w:tabs>
          </w:pPr>
          <w:r>
            <w:fldChar w:fldCharType="begin"/>
          </w:r>
          <w:r>
            <w:instrText xml:space="preserve"> HYPERLINK \l _Toc32759 </w:instrText>
          </w:r>
          <w:r>
            <w:fldChar w:fldCharType="separate"/>
          </w:r>
          <w:r>
            <w:rPr>
              <w:rFonts w:hint="default"/>
              <w:lang w:val="en-US" w:eastAsia="zh-CN"/>
            </w:rPr>
            <w:t>12. 相关文件</w:t>
          </w:r>
          <w:r>
            <w:tab/>
          </w:r>
          <w:r>
            <w:fldChar w:fldCharType="begin"/>
          </w:r>
          <w:r>
            <w:instrText xml:space="preserve"> PAGEREF _Toc32759 \h </w:instrText>
          </w:r>
          <w:r>
            <w:fldChar w:fldCharType="separate"/>
          </w:r>
          <w:r>
            <w:t>16</w:t>
          </w:r>
          <w:r>
            <w:fldChar w:fldCharType="end"/>
          </w:r>
          <w:r>
            <w:fldChar w:fldCharType="end"/>
          </w:r>
        </w:p>
        <w:p>
          <w:pPr>
            <w:pStyle w:val="TOC1"/>
            <w:tabs>
              <w:tab w:val="right" w:leader="dot" w:pos="8306"/>
            </w:tabs>
          </w:pPr>
          <w:r>
            <w:fldChar w:fldCharType="begin"/>
          </w:r>
          <w:r>
            <w:instrText xml:space="preserve"> HYPERLINK \l _Toc21681 </w:instrText>
          </w:r>
          <w:r>
            <w:fldChar w:fldCharType="separate"/>
          </w:r>
          <w:r>
            <w:rPr>
              <w:rFonts w:hint="default"/>
              <w:lang w:val="en-US" w:eastAsia="zh-CN"/>
            </w:rPr>
            <w:t>13. 相关记录</w:t>
          </w:r>
          <w:r>
            <w:tab/>
          </w:r>
          <w:r>
            <w:fldChar w:fldCharType="begin"/>
          </w:r>
          <w:r>
            <w:instrText xml:space="preserve"> PAGEREF _Toc21681 \h </w:instrText>
          </w:r>
          <w:r>
            <w:fldChar w:fldCharType="separate"/>
          </w:r>
          <w:r>
            <w:t>16</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表目录</w:t>
      </w:r>
    </w:p>
    <w:p>
      <w:pPr>
        <w:pStyle w:val="TableofFigures"/>
        <w:tabs>
          <w:tab w:val="right" w:leader="dot" w:pos="8306"/>
        </w:tabs>
      </w:pPr>
      <w:r>
        <w:fldChar w:fldCharType="begin"/>
      </w:r>
      <w:r>
        <w:instrText>TOC \h \c "表"</w:instrText>
      </w:r>
      <w:r>
        <w:fldChar w:fldCharType="separate"/>
      </w:r>
      <w:r>
        <w:fldChar w:fldCharType="begin"/>
      </w:r>
      <w:r>
        <w:instrText xml:space="preserve"> HYPERLINK \l _Toc25684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1 </w:t>
      </w:r>
      <w:r>
        <w:rPr>
          <w:rFonts w:hint="default"/>
          <w:lang w:val="en-US" w:eastAsia="zh-CN"/>
        </w:rPr>
        <w:t xml:space="preserve"> 术语定义表</w:t>
      </w:r>
      <w:r>
        <w:tab/>
      </w:r>
      <w:r>
        <w:fldChar w:fldCharType="begin"/>
      </w:r>
      <w:r>
        <w:instrText xml:space="preserve"> PAGEREF _Toc25684 \h </w:instrText>
      </w:r>
      <w:r>
        <w:fldChar w:fldCharType="separate"/>
      </w:r>
      <w:r>
        <w:t>5</w:t>
      </w:r>
      <w:r>
        <w:fldChar w:fldCharType="end"/>
      </w:r>
      <w:r>
        <w:fldChar w:fldCharType="end"/>
      </w:r>
    </w:p>
    <w:p>
      <w:pPr>
        <w:pStyle w:val="TableofFigures"/>
        <w:tabs>
          <w:tab w:val="right" w:leader="dot" w:pos="8306"/>
        </w:tabs>
      </w:pPr>
      <w:r>
        <w:fldChar w:fldCharType="begin"/>
      </w:r>
      <w:r>
        <w:instrText xml:space="preserve"> HYPERLINK \l _Toc20103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1 </w:t>
      </w:r>
      <w:r>
        <w:rPr>
          <w:rFonts w:hint="default"/>
          <w:lang w:val="en-US" w:eastAsia="zh-CN"/>
        </w:rPr>
        <w:t xml:space="preserve"> 角色与职责表</w:t>
      </w:r>
      <w:r>
        <w:tab/>
      </w:r>
      <w:r>
        <w:fldChar w:fldCharType="begin"/>
      </w:r>
      <w:r>
        <w:instrText xml:space="preserve"> PAGEREF _Toc20103 \h </w:instrText>
      </w:r>
      <w:r>
        <w:fldChar w:fldCharType="separate"/>
      </w:r>
      <w:r>
        <w:t>6</w:t>
      </w:r>
      <w:r>
        <w:fldChar w:fldCharType="end"/>
      </w:r>
      <w:r>
        <w:fldChar w:fldCharType="end"/>
      </w:r>
    </w:p>
    <w:p>
      <w:pPr>
        <w:pStyle w:val="TableofFigures"/>
        <w:tabs>
          <w:tab w:val="right" w:leader="dot" w:pos="8306"/>
        </w:tabs>
      </w:pPr>
      <w:r>
        <w:fldChar w:fldCharType="begin"/>
      </w:r>
      <w:r>
        <w:instrText xml:space="preserve"> HYPERLINK \l _Toc26790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default"/>
          <w:lang w:val="en-US" w:eastAsia="zh-CN"/>
        </w:rPr>
        <w:t xml:space="preserve"> 服务报告分类表</w:t>
      </w:r>
      <w:r>
        <w:tab/>
      </w:r>
      <w:r>
        <w:fldChar w:fldCharType="begin"/>
      </w:r>
      <w:r>
        <w:instrText xml:space="preserve"> PAGEREF _Toc26790 \h </w:instrText>
      </w:r>
      <w:r>
        <w:fldChar w:fldCharType="separate"/>
      </w:r>
      <w:r>
        <w:t>9</w:t>
      </w:r>
      <w:r>
        <w:fldChar w:fldCharType="end"/>
      </w:r>
      <w:r>
        <w:fldChar w:fldCharType="end"/>
      </w:r>
    </w:p>
    <w:p>
      <w:pPr>
        <w:pStyle w:val="TableofFigures"/>
        <w:tabs>
          <w:tab w:val="right" w:leader="dot" w:pos="8306"/>
        </w:tabs>
      </w:pPr>
      <w:r>
        <w:fldChar w:fldCharType="begin"/>
      </w:r>
      <w:r>
        <w:instrText xml:space="preserve"> HYPERLINK \l _Toc32486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2 </w:t>
      </w:r>
      <w:r>
        <w:rPr>
          <w:rFonts w:hint="default"/>
          <w:lang w:val="en-US" w:eastAsia="zh-CN"/>
        </w:rPr>
        <w:t xml:space="preserve"> 日常运维报告内容要求表</w:t>
      </w:r>
      <w:r>
        <w:tab/>
      </w:r>
      <w:r>
        <w:fldChar w:fldCharType="begin"/>
      </w:r>
      <w:r>
        <w:instrText xml:space="preserve"> PAGEREF _Toc32486 \h </w:instrText>
      </w:r>
      <w:r>
        <w:fldChar w:fldCharType="separate"/>
      </w:r>
      <w:r>
        <w:t>9</w:t>
      </w:r>
      <w:r>
        <w:fldChar w:fldCharType="end"/>
      </w:r>
      <w:r>
        <w:fldChar w:fldCharType="end"/>
      </w:r>
    </w:p>
    <w:p>
      <w:pPr>
        <w:pStyle w:val="TableofFigures"/>
        <w:tabs>
          <w:tab w:val="right" w:leader="dot" w:pos="8306"/>
        </w:tabs>
      </w:pPr>
      <w:r>
        <w:fldChar w:fldCharType="begin"/>
      </w:r>
      <w:r>
        <w:instrText xml:space="preserve"> HYPERLINK \l _Toc31328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3 </w:t>
      </w:r>
      <w:r>
        <w:rPr>
          <w:rFonts w:hint="default"/>
          <w:lang w:val="en-US" w:eastAsia="zh-CN"/>
        </w:rPr>
        <w:t xml:space="preserve"> 服务级别报告内容要求表</w:t>
      </w:r>
      <w:r>
        <w:tab/>
      </w:r>
      <w:r>
        <w:fldChar w:fldCharType="begin"/>
      </w:r>
      <w:r>
        <w:instrText xml:space="preserve"> PAGEREF _Toc31328 \h </w:instrText>
      </w:r>
      <w:r>
        <w:fldChar w:fldCharType="separate"/>
      </w:r>
      <w:r>
        <w:t>10</w:t>
      </w:r>
      <w:r>
        <w:fldChar w:fldCharType="end"/>
      </w:r>
      <w:r>
        <w:fldChar w:fldCharType="end"/>
      </w:r>
    </w:p>
    <w:p>
      <w:pPr>
        <w:pStyle w:val="TableofFigures"/>
        <w:tabs>
          <w:tab w:val="right" w:leader="dot" w:pos="8306"/>
        </w:tabs>
      </w:pPr>
      <w:r>
        <w:fldChar w:fldCharType="begin"/>
      </w:r>
      <w:r>
        <w:instrText xml:space="preserve"> HYPERLINK \l _Toc16691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4 </w:t>
      </w:r>
      <w:r>
        <w:rPr>
          <w:rFonts w:hint="default"/>
          <w:lang w:val="en-US" w:eastAsia="zh-CN"/>
        </w:rPr>
        <w:t xml:space="preserve"> 专项报告内容要求表</w:t>
      </w:r>
      <w:r>
        <w:tab/>
      </w:r>
      <w:r>
        <w:fldChar w:fldCharType="begin"/>
      </w:r>
      <w:r>
        <w:instrText xml:space="preserve"> PAGEREF _Toc16691 \h </w:instrText>
      </w:r>
      <w:r>
        <w:fldChar w:fldCharType="separate"/>
      </w:r>
      <w:r>
        <w:t>10</w:t>
      </w:r>
      <w:r>
        <w:fldChar w:fldCharType="end"/>
      </w:r>
      <w:r>
        <w:fldChar w:fldCharType="end"/>
      </w:r>
    </w:p>
    <w:p>
      <w:pPr>
        <w:pStyle w:val="TableofFigures"/>
        <w:tabs>
          <w:tab w:val="right" w:leader="dot" w:pos="8306"/>
        </w:tabs>
      </w:pPr>
      <w:r>
        <w:fldChar w:fldCharType="begin"/>
      </w:r>
      <w:r>
        <w:instrText xml:space="preserve"> HYPERLINK \l _Toc24791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1 </w:t>
      </w:r>
      <w:r>
        <w:rPr>
          <w:rFonts w:hint="default"/>
          <w:lang w:val="en-US" w:eastAsia="zh-CN"/>
        </w:rPr>
        <w:t xml:space="preserve"> 服务报告管理流程表</w:t>
      </w:r>
      <w:r>
        <w:tab/>
      </w:r>
      <w:r>
        <w:fldChar w:fldCharType="begin"/>
      </w:r>
      <w:r>
        <w:instrText xml:space="preserve"> PAGEREF _Toc24791 \h </w:instrText>
      </w:r>
      <w:r>
        <w:fldChar w:fldCharType="separate"/>
      </w:r>
      <w:r>
        <w:t>12</w:t>
      </w:r>
      <w:r>
        <w:fldChar w:fldCharType="end"/>
      </w:r>
      <w:r>
        <w:fldChar w:fldCharType="end"/>
      </w:r>
    </w:p>
    <w:p>
      <w:pPr>
        <w:pStyle w:val="TableofFigures"/>
        <w:tabs>
          <w:tab w:val="right" w:leader="dot" w:pos="8306"/>
        </w:tabs>
      </w:pPr>
      <w:r>
        <w:fldChar w:fldCharType="begin"/>
      </w:r>
      <w:r>
        <w:instrText xml:space="preserve"> HYPERLINK \l _Toc7171 </w:instrText>
      </w:r>
      <w:r>
        <w:fldChar w:fldCharType="separate"/>
      </w:r>
      <w:r>
        <w:rPr>
          <w:rFonts w:hint="eastAsia"/>
          <w:lang w:val="en-US" w:eastAsia="zh-CN"/>
        </w:rPr>
        <w:t xml:space="preserve">表 </w:t>
      </w:r>
      <w:r>
        <w:rPr>
          <w:rFonts w:hint="default"/>
          <w:lang w:val="en-US" w:eastAsia="zh-CN"/>
        </w:rPr>
        <w:t>8</w:t>
      </w:r>
      <w:r>
        <w:rPr>
          <w:rFonts w:hint="eastAsia"/>
          <w:lang w:val="en-US" w:eastAsia="zh-CN"/>
        </w:rPr>
        <w:t>-</w:t>
      </w:r>
      <w:r>
        <w:t xml:space="preserve">1 </w:t>
      </w:r>
      <w:r>
        <w:rPr>
          <w:rFonts w:hint="default"/>
          <w:lang w:val="en-US" w:eastAsia="zh-CN"/>
        </w:rPr>
        <w:t xml:space="preserve"> 报告要素识别表</w:t>
      </w:r>
      <w:r>
        <w:tab/>
      </w:r>
      <w:r>
        <w:fldChar w:fldCharType="begin"/>
      </w:r>
      <w:r>
        <w:instrText xml:space="preserve"> PAGEREF _Toc7171 \h </w:instrText>
      </w:r>
      <w:r>
        <w:fldChar w:fldCharType="separate"/>
      </w:r>
      <w:r>
        <w:t>12</w:t>
      </w:r>
      <w:r>
        <w:fldChar w:fldCharType="end"/>
      </w:r>
      <w:r>
        <w:fldChar w:fldCharType="end"/>
      </w:r>
    </w:p>
    <w:p>
      <w:pPr>
        <w:pStyle w:val="TableofFigures"/>
        <w:tabs>
          <w:tab w:val="right" w:leader="dot" w:pos="8306"/>
        </w:tabs>
      </w:pPr>
      <w:r>
        <w:fldChar w:fldCharType="begin"/>
      </w:r>
      <w:r>
        <w:instrText xml:space="preserve"> HYPERLINK \l _Toc213 </w:instrText>
      </w:r>
      <w:r>
        <w:fldChar w:fldCharType="separate"/>
      </w:r>
      <w:r>
        <w:rPr>
          <w:rFonts w:hint="eastAsia"/>
          <w:lang w:val="en-US" w:eastAsia="zh-CN"/>
        </w:rPr>
        <w:t xml:space="preserve">表 </w:t>
      </w:r>
      <w:r>
        <w:rPr>
          <w:rFonts w:hint="default"/>
          <w:lang w:val="en-US" w:eastAsia="zh-CN"/>
        </w:rPr>
        <w:t>9</w:t>
      </w:r>
      <w:r>
        <w:rPr>
          <w:rFonts w:hint="eastAsia"/>
          <w:lang w:val="en-US" w:eastAsia="zh-CN"/>
        </w:rPr>
        <w:t>-</w:t>
      </w:r>
      <w:r>
        <w:t xml:space="preserve">1 </w:t>
      </w:r>
      <w:r>
        <w:rPr>
          <w:rFonts w:hint="default"/>
          <w:lang w:val="en-US" w:eastAsia="zh-CN"/>
        </w:rPr>
        <w:t xml:space="preserve"> 服务报告分发矩阵表</w:t>
      </w:r>
      <w:r>
        <w:tab/>
      </w:r>
      <w:r>
        <w:fldChar w:fldCharType="begin"/>
      </w:r>
      <w:r>
        <w:instrText xml:space="preserve"> PAGEREF _Toc213 \h </w:instrText>
      </w:r>
      <w:r>
        <w:fldChar w:fldCharType="separate"/>
      </w:r>
      <w:r>
        <w:t>14</w:t>
      </w:r>
      <w:r>
        <w:fldChar w:fldCharType="end"/>
      </w:r>
      <w:r>
        <w:fldChar w:fldCharType="end"/>
      </w:r>
    </w:p>
    <w:p>
      <w:pPr>
        <w:pStyle w:val="TableofFigures"/>
        <w:tabs>
          <w:tab w:val="right" w:leader="dot" w:pos="8306"/>
        </w:tabs>
      </w:pPr>
      <w:r>
        <w:fldChar w:fldCharType="begin"/>
      </w:r>
      <w:r>
        <w:instrText xml:space="preserve"> HYPERLINK \l _Toc4378 </w:instrText>
      </w:r>
      <w:r>
        <w:fldChar w:fldCharType="separate"/>
      </w:r>
      <w:r>
        <w:rPr>
          <w:rFonts w:hint="eastAsia"/>
          <w:lang w:val="en-US" w:eastAsia="zh-CN"/>
        </w:rPr>
        <w:t xml:space="preserve">表 </w:t>
      </w:r>
      <w:r>
        <w:rPr>
          <w:rFonts w:hint="default"/>
          <w:lang w:val="en-US" w:eastAsia="zh-CN"/>
        </w:rPr>
        <w:t>10</w:t>
      </w:r>
      <w:r>
        <w:rPr>
          <w:rFonts w:hint="eastAsia"/>
          <w:lang w:val="en-US" w:eastAsia="zh-CN"/>
        </w:rPr>
        <w:t>-</w:t>
      </w:r>
      <w:r>
        <w:t xml:space="preserve">1 </w:t>
      </w:r>
      <w:r>
        <w:rPr>
          <w:rFonts w:hint="default"/>
          <w:lang w:val="en-US" w:eastAsia="zh-CN"/>
        </w:rPr>
        <w:t xml:space="preserve"> 服务报告评审表</w:t>
      </w:r>
      <w:r>
        <w:tab/>
      </w:r>
      <w:r>
        <w:fldChar w:fldCharType="begin"/>
      </w:r>
      <w:r>
        <w:instrText xml:space="preserve"> PAGEREF _Toc4378 \h </w:instrText>
      </w:r>
      <w:r>
        <w:fldChar w:fldCharType="separate"/>
      </w:r>
      <w:r>
        <w:t>15</w:t>
      </w:r>
      <w:r>
        <w:fldChar w:fldCharType="end"/>
      </w:r>
      <w:r>
        <w:fldChar w:fldCharType="end"/>
      </w:r>
    </w:p>
    <w:p>
      <w:pPr>
        <w:pStyle w:val="TableofFigures"/>
        <w:tabs>
          <w:tab w:val="right" w:leader="dot" w:pos="8306"/>
        </w:tabs>
      </w:pPr>
      <w:r>
        <w:fldChar w:fldCharType="begin"/>
      </w:r>
      <w:r>
        <w:instrText xml:space="preserve"> HYPERLINK \l _Toc5602 </w:instrText>
      </w:r>
      <w:r>
        <w:fldChar w:fldCharType="separate"/>
      </w:r>
      <w:r>
        <w:rPr>
          <w:rFonts w:hint="eastAsia"/>
          <w:lang w:val="en-US" w:eastAsia="zh-CN"/>
        </w:rPr>
        <w:t xml:space="preserve">表 </w:t>
      </w:r>
      <w:r>
        <w:rPr>
          <w:rFonts w:hint="default"/>
          <w:lang w:val="en-US" w:eastAsia="zh-CN"/>
        </w:rPr>
        <w:t>11</w:t>
      </w:r>
      <w:r>
        <w:rPr>
          <w:rFonts w:hint="eastAsia"/>
          <w:lang w:val="en-US" w:eastAsia="zh-CN"/>
        </w:rPr>
        <w:t>-</w:t>
      </w:r>
      <w:r>
        <w:t xml:space="preserve">1 </w:t>
      </w:r>
      <w:r>
        <w:rPr>
          <w:rFonts w:hint="default"/>
          <w:lang w:val="en-US" w:eastAsia="zh-CN"/>
        </w:rPr>
        <w:t xml:space="preserve"> KPI指标表</w:t>
      </w:r>
      <w:r>
        <w:tab/>
      </w:r>
      <w:r>
        <w:fldChar w:fldCharType="begin"/>
      </w:r>
      <w:r>
        <w:instrText xml:space="preserve"> PAGEREF _Toc5602 \h </w:instrText>
      </w:r>
      <w:r>
        <w:fldChar w:fldCharType="separate"/>
      </w:r>
      <w:r>
        <w:t>16</w:t>
      </w:r>
      <w:r>
        <w:fldChar w:fldCharType="end"/>
      </w:r>
      <w:r>
        <w:fldChar w:fldCharType="end"/>
      </w:r>
    </w:p>
    <w:p>
      <w:pPr>
        <w:pStyle w:val="TableofFigures"/>
        <w:tabs>
          <w:tab w:val="right" w:leader="dot" w:pos="8306"/>
        </w:tabs>
      </w:pPr>
      <w:r>
        <w:fldChar w:fldCharType="begin"/>
      </w:r>
      <w:r>
        <w:instrText xml:space="preserve"> HYPERLINK \l _Toc16593 </w:instrText>
      </w:r>
      <w:r>
        <w:fldChar w:fldCharType="separate"/>
      </w:r>
      <w:r>
        <w:rPr>
          <w:rFonts w:hint="eastAsia"/>
          <w:lang w:val="en-US" w:eastAsia="zh-CN"/>
        </w:rPr>
        <w:t xml:space="preserve">表 </w:t>
      </w:r>
      <w:r>
        <w:rPr>
          <w:rFonts w:hint="default"/>
          <w:lang w:val="en-US" w:eastAsia="zh-CN"/>
        </w:rPr>
        <w:t>13</w:t>
      </w:r>
      <w:r>
        <w:rPr>
          <w:rFonts w:hint="eastAsia"/>
          <w:lang w:val="en-US" w:eastAsia="zh-CN"/>
        </w:rPr>
        <w:t>-</w:t>
      </w:r>
      <w:r>
        <w:t xml:space="preserve">1 </w:t>
      </w:r>
      <w:r>
        <w:rPr>
          <w:rFonts w:hint="default"/>
          <w:lang w:val="en-US" w:eastAsia="zh-CN"/>
        </w:rPr>
        <w:t xml:space="preserve"> 相关记录表</w:t>
      </w:r>
      <w:r>
        <w:tab/>
      </w:r>
      <w:r>
        <w:fldChar w:fldCharType="begin"/>
      </w:r>
      <w:r>
        <w:instrText xml:space="preserve"> PAGEREF _Toc16593 \h </w:instrText>
      </w:r>
      <w:r>
        <w:fldChar w:fldCharType="separate"/>
      </w:r>
      <w:r>
        <w:t>16</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图目录</w:t>
      </w:r>
    </w:p>
    <w:p>
      <w:pPr>
        <w:pStyle w:val="TableofFigures"/>
        <w:tabs>
          <w:tab w:val="right" w:leader="dot" w:pos="8306"/>
        </w:tabs>
      </w:pPr>
      <w:r>
        <w:fldChar w:fldCharType="begin"/>
      </w:r>
      <w:r>
        <w:instrText>TOC \h \c "图"</w:instrText>
      </w:r>
      <w:r>
        <w:fldChar w:fldCharType="separate"/>
      </w:r>
      <w:r>
        <w:fldChar w:fldCharType="begin"/>
      </w:r>
      <w:r>
        <w:instrText xml:space="preserve"> HYPERLINK \l _Toc4290 </w:instrText>
      </w:r>
      <w:r>
        <w:fldChar w:fldCharType="separate"/>
      </w:r>
      <w:r>
        <w:rPr>
          <w:rFonts w:hint="eastAsia"/>
          <w:lang w:val="en-US" w:eastAsia="zh-CN"/>
        </w:rPr>
        <w:t xml:space="preserve">图 </w:t>
      </w:r>
      <w:r>
        <w:rPr>
          <w:rFonts w:hint="default"/>
          <w:lang w:val="en-US" w:eastAsia="zh-CN"/>
        </w:rPr>
        <w:t>7</w:t>
      </w:r>
      <w:r>
        <w:rPr>
          <w:rFonts w:hint="eastAsia"/>
          <w:lang w:val="en-US" w:eastAsia="zh-CN"/>
        </w:rPr>
        <w:t>-</w:t>
      </w:r>
      <w:r>
        <w:t xml:space="preserve">1 </w:t>
      </w:r>
      <w:r>
        <w:rPr>
          <w:rFonts w:hint="default"/>
          <w:lang w:val="en-US" w:eastAsia="zh-CN"/>
        </w:rPr>
        <w:t xml:space="preserve"> 服务报告管理流程图</w:t>
      </w:r>
      <w:r>
        <w:tab/>
      </w:r>
      <w:r>
        <w:fldChar w:fldCharType="begin"/>
      </w:r>
      <w:r>
        <w:instrText xml:space="preserve"> PAGEREF _Toc4290 \h </w:instrText>
      </w:r>
      <w:r>
        <w:fldChar w:fldCharType="separate"/>
      </w:r>
      <w:r>
        <w:t>10</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 w:name="_Toc5566"/>
      <w:r>
        <w:rPr>
          <w:rFonts w:hint="default"/>
          <w:lang w:val="en-US" w:eastAsia="zh-CN"/>
        </w:rPr>
        <w:t>目的</w:t>
      </w:r>
      <w:bookmarkEnd w:id="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本制度旨在规范‌数飞科技(宁波)有限公司（以下简称“公司”）运维服务报告的编制、审核、提交和归档管理，确保服务报告的及时性、准确性和完整性，为有效沟通和制定决策提供可靠的依据。</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通过建立标准化的服务报告管理机制，实现以下目标：</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评价服务绩效：根据服务级别协议（SLA）评价和计量服务达成情况；</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支持决策制定：为管理层和客户提供准确的服务数据和分析；</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促进持续改进：通过报告发现问题和改进机会；</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满足沟通需求：满足客户和内部管理者对服务信息的需求；</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记录服务过程：形成可追溯的服务历史记录。</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 w:name="_Toc27982"/>
      <w:r>
        <w:rPr>
          <w:rFonts w:hint="default"/>
          <w:lang w:val="en-US" w:eastAsia="zh-CN"/>
        </w:rPr>
        <w:t>范围</w:t>
      </w:r>
      <w:bookmarkEnd w:id="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本制度适用于公司运维服务报告的全过程管理，覆盖以下范围：</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报告类型：日常运维报告、服务级别报告、专项报告等；</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报告周期：周报、月报、季报、年报、按需报告；</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涉及部门：运维部、研发部、质量部、人力部；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报告对象：内部管理者、客户、管理层。</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21427"/>
      <w:r>
        <w:rPr>
          <w:rFonts w:hint="default"/>
          <w:lang w:val="en-US" w:eastAsia="zh-CN"/>
        </w:rPr>
        <w:t>术语与定义</w:t>
      </w:r>
      <w:bookmarkEnd w:id="4"/>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 w:name="_Toc25684"/>
      <w:r>
        <w:rPr>
          <w:rFonts w:hint="default"/>
          <w:lang w:val="en-US" w:eastAsia="zh-CN"/>
        </w:rPr>
        <w:t xml:space="preserve"> 术语定义表</w:t>
      </w:r>
      <w:bookmarkEnd w:id="5"/>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353"/>
        <w:gridCol w:w="7169"/>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353"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术语</w:t>
            </w:r>
          </w:p>
        </w:tc>
        <w:tc>
          <w:tcPr>
            <w:tcW w:w="7169"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定义</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53"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服务报告</w:t>
            </w:r>
          </w:p>
        </w:tc>
        <w:tc>
          <w:tcPr>
            <w:tcW w:w="716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根据服务级别协议或管理要求，定期或不定期编制的服务执行情况报告。</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53"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反应性报告</w:t>
            </w:r>
          </w:p>
        </w:tc>
        <w:tc>
          <w:tcPr>
            <w:tcW w:w="716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报告已经发生的事件、事故或服务执行现状的报告。</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53"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前置性报告</w:t>
            </w:r>
          </w:p>
        </w:tc>
        <w:tc>
          <w:tcPr>
            <w:tcW w:w="716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对重要事件进行预警，提前采取预防性措施的报告（如即将发生的违反SLA行为预警）。</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53"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预先计划报告</w:t>
            </w:r>
          </w:p>
        </w:tc>
        <w:tc>
          <w:tcPr>
            <w:tcW w:w="716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报告计划中的活动，如维护计划、演练计划等。</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53"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服务级别报告</w:t>
            </w:r>
          </w:p>
        </w:tc>
        <w:tc>
          <w:tcPr>
            <w:tcW w:w="716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重点反映SLA达成情况的周期性报告。</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53"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报告要素</w:t>
            </w:r>
          </w:p>
        </w:tc>
        <w:tc>
          <w:tcPr>
            <w:tcW w:w="716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服务报告中需要包含的数据和度量指标。</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53"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报告分发矩阵</w:t>
            </w:r>
          </w:p>
        </w:tc>
        <w:tc>
          <w:tcPr>
            <w:tcW w:w="7169"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明确各类报告的分发对象、分发方式和分发时间的对照表。</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25273"/>
      <w:r>
        <w:rPr>
          <w:rFonts w:hint="default"/>
          <w:lang w:val="en-US" w:eastAsia="zh-CN"/>
        </w:rPr>
        <w:t>角色与职责</w:t>
      </w:r>
      <w:bookmarkEnd w:id="6"/>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7" w:name="_Toc20103"/>
      <w:r>
        <w:rPr>
          <w:rFonts w:hint="default"/>
          <w:lang w:val="en-US" w:eastAsia="zh-CN"/>
        </w:rPr>
        <w:t xml:space="preserve"> 角色与职责表</w:t>
      </w:r>
      <w:bookmarkEnd w:id="7"/>
    </w:p>
    <w:tbl>
      <w:tblPr>
        <w:tblStyle w:val="TableNormal"/>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531"/>
        <w:gridCol w:w="2620"/>
        <w:gridCol w:w="4347"/>
      </w:tblGrid>
      <w:tr>
        <w:tblPrEx>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角色</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对应岗位</w:t>
            </w:r>
          </w:p>
        </w:tc>
        <w:tc>
          <w:tcPr>
            <w:tcW w:w="4347"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职责说明</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服务报告过程负责人</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运维部经理</w:t>
            </w:r>
          </w:p>
        </w:tc>
        <w:tc>
          <w:tcPr>
            <w:tcW w:w="434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负责本制度的制定、解释和修订；</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确定服务报告管理过程的衡量指标；</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总体上管理和监控服务报告过程；</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4. 建立服务报告管理过程的实施、评估和持续优化机制；</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5. 对所负责的服务报告进行审批；</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6. 组织协调相关人员根据报告结果进行回顾、差距和趋势分析。</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服务报告执行人</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w:t>
            </w:r>
          </w:p>
        </w:tc>
        <w:tc>
          <w:tcPr>
            <w:tcW w:w="434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收集汇总编制报告所需的信息；</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按照固定格式和周期编制服务报告；</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服务报告管理过程的回顾和改进建议；</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4. 报告列表结构的设计和维护；</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5. 服务报告的分发、存档和版本控制；</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6. 定期审计服务报告的准确性和真实性。</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运维工程师</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硬件运维工程师、软件运维工程师</w:t>
            </w:r>
          </w:p>
        </w:tc>
        <w:tc>
          <w:tcPr>
            <w:tcW w:w="434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根据运维服务情况，按时采集并提交运维数据。</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研发部</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研发部经理、技术支持工程师</w:t>
            </w:r>
          </w:p>
        </w:tc>
        <w:tc>
          <w:tcPr>
            <w:tcW w:w="434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提供技术类报告所需的技术数据；</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参与技术类报告的评审；</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协助分析技术问题。</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质量部</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质量部经理、质量部专员</w:t>
            </w:r>
          </w:p>
        </w:tc>
        <w:tc>
          <w:tcPr>
            <w:tcW w:w="434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确保服务报告管理过程有效、正确地执行；</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监督服务报告的准确性和真实性；</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当过程不适应公司情况时，进行分析、找出缺陷、进行改进；</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4. 参与服务报告的评审。</w:t>
            </w:r>
          </w:p>
        </w:tc>
      </w:tr>
      <w:tr>
        <w:tblPrEx>
          <w:tblW w:w="8498" w:type="dxa"/>
          <w:jc w:val="center"/>
          <w:shd w:val="clear" w:color="auto" w:fill="auto"/>
          <w:tblCellMar>
            <w:top w:w="15" w:type="dxa"/>
            <w:left w:w="15" w:type="dxa"/>
            <w:bottom w:w="15" w:type="dxa"/>
            <w:right w:w="15" w:type="dxa"/>
          </w:tblCellMar>
        </w:tblPrEx>
        <w:trPr>
          <w:trHeight w:val="0"/>
          <w:jc w:val="center"/>
        </w:trPr>
        <w:tc>
          <w:tcPr>
            <w:tcW w:w="1531"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服务台</w:t>
            </w:r>
          </w:p>
        </w:tc>
        <w:tc>
          <w:tcPr>
            <w:tcW w:w="2620"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服务台专员</w:t>
            </w:r>
          </w:p>
        </w:tc>
        <w:tc>
          <w:tcPr>
            <w:tcW w:w="4347"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提供事件记录、满意度回访等数据。</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4790"/>
      <w:r>
        <w:rPr>
          <w:rFonts w:hint="default"/>
          <w:lang w:val="en-US" w:eastAsia="zh-CN"/>
        </w:rPr>
        <w:t>服务报告管理流程与其他流程的关系</w:t>
      </w:r>
      <w:bookmarkEnd w:id="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服务报告管理流程并非孤立存在，它与公司运维服务管理体系中的其他核心流程密切相关，共同构成完整的服务管理闭环。服务报告既是各流程执行结果的体现，也为各流程的改进提供输入。</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16511"/>
      <w:r>
        <w:rPr>
          <w:rFonts w:hint="default"/>
          <w:lang w:val="en-US" w:eastAsia="zh-CN"/>
        </w:rPr>
        <w:t>与服务级别管理的关系</w:t>
      </w:r>
      <w:bookmarkEnd w:id="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报告管理流程与服务级别管理流程相互依存。服务级别管理流程负责定义服务级别协议（SLA）中的各项服务指标，而服务报告管理流程则通过定期编制的《服务级别报告》，真实反映这些指标的达成情况。服务报告中的SLA达成数据为服务级别评审会议提供关键输入，帮助识别服务差距，推动服务级别的持续优化。同时，服务级别协议的变更也会直接影响服务报告的内容要求。</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16152"/>
      <w:r>
        <w:rPr>
          <w:rFonts w:hint="default"/>
          <w:lang w:val="en-US" w:eastAsia="zh-CN"/>
        </w:rPr>
        <w:t>与事件管理的关系</w:t>
      </w:r>
      <w:bookmarkEnd w:id="1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管理流程是服务报告的重要数据来源之一。事件管理过程中记录的事件数量、分类分布、优先级统计、响应时间、解决时间等数据，经过汇总分析后成为服务报告中事件统计模块的核心内容。服务报告通过对事件数据的趋势分析，可以发现事件高发领域，为事件管理的优化提供方向。同时，重大事件的处理结果也会在服务报告的“重大事件信息”部分进行专项说明。</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10209"/>
      <w:r>
        <w:rPr>
          <w:rFonts w:hint="default"/>
          <w:lang w:val="en-US" w:eastAsia="zh-CN"/>
        </w:rPr>
        <w:t>与问题管理的关系</w:t>
      </w:r>
      <w:bookmarkEnd w:id="1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问题管理流程为服务报告提供问题分析结果和已知错误信息。服务报告中的问题统计、根本原因分析、问题解决情况等内容，均来源于问题管理流程的记录。问题管理通过对重复发生的事件进行根因分析，形成的分析结论和改进建议，成为服务报告中“未达标项分析”和“改进建议”的重要输入。服务报告发布后，其中识别的改进项也可能触发新问题的管理流程。</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2683"/>
      <w:r>
        <w:rPr>
          <w:rFonts w:hint="default"/>
          <w:lang w:val="en-US" w:eastAsia="zh-CN"/>
        </w:rPr>
        <w:t>与变更管理的关系</w:t>
      </w:r>
      <w:bookmarkEnd w:id="1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变更管理流程记录的所有变更信息，包括变更数量、变更类型分布、变更成功率、变更失败回退情况等，都是服务报告中变更统计模块的基础数据。服务报告通过对变更数据的分析，可以评估变更管理的整体效果，发现变更流程中存在的风险。重大变更的实施情况也需在服务报告中进行说明，确保客户和管理层了解服务环境的变化。</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27577"/>
      <w:r>
        <w:rPr>
          <w:rFonts w:hint="default"/>
          <w:lang w:val="en-US" w:eastAsia="zh-CN"/>
        </w:rPr>
        <w:t>与配置管理的关系</w:t>
      </w:r>
      <w:bookmarkEnd w:id="1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配置管理流程提供的配置项信息、配置审计结果、配置变更记录等数据，为服务报告中的资源配置分析提供依据。当服务报告中识别出因配置不当导致的问题时，可触发配置管理流程进行优化。同时，服务报告也可反映配置管理流程的执行效果，如配置审计的完成情况、配置数据的准确性等。</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4" w:name="_Toc19727"/>
      <w:r>
        <w:rPr>
          <w:rFonts w:hint="default"/>
          <w:lang w:val="en-US" w:eastAsia="zh-CN"/>
        </w:rPr>
        <w:t>与能力管理的关系</w:t>
      </w:r>
      <w:bookmarkEnd w:id="1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能力管理流程负责规划和管理人员、技术、资源等运维能力，而服务报告中反映的工作量特征、服务绩效趋势、问题发生规律等信息，为能力管理提供重要的输入数据。服务报告可以帮助能力管理流程识别能力短板，预判未来能力需求，从而制定更加精准的能力规划。同时，能力管理的改进措施落实情况也需在后续服务报告中进行跟踪和验证。</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5" w:name="_Toc31051"/>
      <w:r>
        <w:rPr>
          <w:rFonts w:hint="default"/>
          <w:lang w:val="en-US" w:eastAsia="zh-CN"/>
        </w:rPr>
        <w:t>与应急管理的关系</w:t>
      </w:r>
      <w:bookmarkEnd w:id="1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急管理流程处理重大事件和突发情况的全过程记录，是服务报告中“重大事件信息”部分的直接来源。应急事件的处理结果、根本原因分析、改进措施等，都需要在服务报告中进行详细说明。服务报告通过对应急事件的复盘分析，可以帮助应急管理流程持续优化应急预案，提升应急响应能力。</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6" w:name="_Toc9618"/>
      <w:r>
        <w:rPr>
          <w:rFonts w:hint="default"/>
          <w:lang w:val="en-US" w:eastAsia="zh-CN"/>
        </w:rPr>
        <w:t>与满意度管理的关系</w:t>
      </w:r>
      <w:bookmarkEnd w:id="1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满意度管理流程定期开展的客户满意度调查结果，是服务报告中客户满意度模块的核心内容。服务报告需要分析满意度得分的变化趋势、投诉问题的处理情况、客户反馈的改进建议等。同时，服务报告本身的质量和及时性也会影响客户对服务的整体满意度评价。</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7" w:name="_Toc26814"/>
      <w:r>
        <w:rPr>
          <w:rFonts w:hint="default"/>
          <w:lang w:val="en-US" w:eastAsia="zh-CN"/>
        </w:rPr>
        <w:t>与质量管理的关系</w:t>
      </w:r>
      <w:bookmarkEnd w:id="1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部依据服务报告中的数据分析，对服务执行过程进行质量监督。服务报告中反映的未达标项、客户投诉、问题分析等内容，是质量改进的重要输入。质量部通过定期评审服务报告的质量，确保报告的准确性和完整性，并将报告中发现的问题纳入质量改进流程进行跟踪验证。</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8" w:name="_Toc30306"/>
      <w:r>
        <w:rPr>
          <w:rFonts w:hint="default"/>
          <w:lang w:val="en-US" w:eastAsia="zh-CN"/>
        </w:rPr>
        <w:t>与持续改进的关系</w:t>
      </w:r>
      <w:bookmarkEnd w:id="1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报告管理流程与持续改进流程形成闭环。服务报告中识别的改进机会、未达标项分析、趋势预警等信息，是触发持续改进流程的重要来源。通过《服务改进计划》的制定和实施，改进措施的效果将在后续服务报告中进行验证和评估，实现服务质量的螺旋式上升。</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9" w:name="_Toc31337"/>
      <w:r>
        <w:rPr>
          <w:rFonts w:hint="default"/>
          <w:lang w:val="en-US" w:eastAsia="zh-CN"/>
        </w:rPr>
        <w:t>服务报告分类与内容</w:t>
      </w:r>
      <w:bookmarkEnd w:id="19"/>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0" w:name="_Toc4141"/>
      <w:r>
        <w:rPr>
          <w:rFonts w:hint="default"/>
          <w:lang w:val="en-US" w:eastAsia="zh-CN"/>
        </w:rPr>
        <w:t>服务报告分类</w:t>
      </w:r>
      <w:bookmarkEnd w:id="2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根据报告周期、内容和用途，服务报告分为以下类型：</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1" w:name="_Toc26790"/>
      <w:r>
        <w:rPr>
          <w:rFonts w:hint="default"/>
          <w:lang w:val="en-US" w:eastAsia="zh-CN"/>
        </w:rPr>
        <w:t xml:space="preserve"> 服务报告分类表</w:t>
      </w:r>
      <w:bookmarkEnd w:id="21"/>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610"/>
        <w:gridCol w:w="1392"/>
        <w:gridCol w:w="3890"/>
        <w:gridCol w:w="1603"/>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报告类型</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报告周期</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主要用途</w:t>
            </w:r>
          </w:p>
        </w:tc>
        <w:tc>
          <w:tcPr>
            <w:tcW w:w="1603"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责任部门</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日常运维报告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每周</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内部管理，跟踪日常运维情况</w:t>
            </w:r>
          </w:p>
        </w:tc>
        <w:tc>
          <w:tcPr>
            <w:tcW w:w="160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服务级别报告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每月</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向客户汇报SLA达成情况</w:t>
            </w:r>
          </w:p>
        </w:tc>
        <w:tc>
          <w:tcPr>
            <w:tcW w:w="160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季度服务报告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每季度</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阶段性服务总结和分析</w:t>
            </w:r>
          </w:p>
        </w:tc>
        <w:tc>
          <w:tcPr>
            <w:tcW w:w="160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运维部经理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年度服务报告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每年</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年度服务总结和下一年度规划</w:t>
            </w:r>
          </w:p>
        </w:tc>
        <w:tc>
          <w:tcPr>
            <w:tcW w:w="160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运维部经理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1610"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专项报告</w:t>
            </w:r>
          </w:p>
        </w:tc>
        <w:tc>
          <w:tcPr>
            <w:tcW w:w="1392"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按需</w:t>
            </w:r>
          </w:p>
        </w:tc>
        <w:tc>
          <w:tcPr>
            <w:tcW w:w="3890"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重大事件、专项改进、项目验收等</w:t>
            </w:r>
          </w:p>
        </w:tc>
        <w:tc>
          <w:tcPr>
            <w:tcW w:w="1603"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2" w:name="_Toc12102"/>
      <w:r>
        <w:rPr>
          <w:rFonts w:hint="default"/>
          <w:lang w:val="en-US" w:eastAsia="zh-CN"/>
        </w:rPr>
        <w:t>服务报告内容要求</w:t>
      </w:r>
      <w:bookmarkEnd w:id="2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各类服务报告的内容要求如下，报告编制人员应根据报告类型选择相应的内容模块，确保报告的完整性和针对性。</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23" w:name="_Toc32486"/>
      <w:r>
        <w:rPr>
          <w:rFonts w:hint="default"/>
          <w:lang w:val="en-US" w:eastAsia="zh-CN"/>
        </w:rPr>
        <w:t xml:space="preserve"> 日常运维报告内容要求表</w:t>
      </w:r>
      <w:bookmarkEnd w:id="23"/>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982"/>
        <w:gridCol w:w="5128"/>
        <w:gridCol w:w="1385"/>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内容模块</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具体要求</w:t>
            </w:r>
          </w:p>
        </w:tc>
        <w:tc>
          <w:tcPr>
            <w:tcW w:w="1385"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数据来源</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报告基本信息</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报告周期、报告时间、报告人、审核人</w:t>
            </w:r>
          </w:p>
        </w:tc>
        <w:tc>
          <w:tcPr>
            <w:tcW w:w="138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事件统计</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事件总数、按分类统计、按优先级统计、趋势分析</w:t>
            </w:r>
          </w:p>
        </w:tc>
        <w:tc>
          <w:tcPr>
            <w:tcW w:w="138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事件管理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问题统计</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问题总数、已解决问题数、未解决问题数、已知错误数</w:t>
            </w:r>
          </w:p>
        </w:tc>
        <w:tc>
          <w:tcPr>
            <w:tcW w:w="138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问题管理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变更统计</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变更总数、变更类型分布、变更成功率</w:t>
            </w:r>
          </w:p>
        </w:tc>
        <w:tc>
          <w:tcPr>
            <w:tcW w:w="138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变更管理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重点工作完成情况</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本周计划工作完成情况、下周工作计划</w:t>
            </w:r>
          </w:p>
        </w:tc>
        <w:tc>
          <w:tcPr>
            <w:tcW w:w="138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1982"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存在问题及改进建议</w:t>
            </w:r>
          </w:p>
        </w:tc>
        <w:tc>
          <w:tcPr>
            <w:tcW w:w="5128"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本周发现的问题、改进建议</w:t>
            </w:r>
          </w:p>
        </w:tc>
        <w:tc>
          <w:tcPr>
            <w:tcW w:w="1385"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w:t>
            </w:r>
          </w:p>
        </w:tc>
      </w:tr>
    </w:tbl>
    <w:p>
      <w:pPr>
        <w:rPr>
          <w:rFonts w:hint="eastAsia"/>
          <w:lang w:val="en-US" w:eastAsia="zh-CN"/>
        </w:rPr>
      </w:pPr>
      <w:r>
        <w:rPr>
          <w:rFonts w:hint="eastAsia"/>
          <w:lang w:val="en-US" w:eastAsia="zh-CN"/>
        </w:rPr>
        <w:br w:type="page"/>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24" w:name="_Toc31328"/>
      <w:r>
        <w:rPr>
          <w:rFonts w:hint="default"/>
          <w:lang w:val="en-US" w:eastAsia="zh-CN"/>
        </w:rPr>
        <w:t xml:space="preserve"> 服务级别报告内容要求表</w:t>
      </w:r>
      <w:bookmarkEnd w:id="24"/>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784"/>
        <w:gridCol w:w="4736"/>
        <w:gridCol w:w="1975"/>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内容模块</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具体要求</w:t>
            </w:r>
          </w:p>
        </w:tc>
        <w:tc>
          <w:tcPr>
            <w:tcW w:w="1975"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数据来源</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报告基本信息</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报告周期、客户名称、项目名称、报告人、审核人</w:t>
            </w:r>
          </w:p>
        </w:tc>
        <w:tc>
          <w:tcPr>
            <w:tcW w:w="197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服务概况</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本期服务总体情况、关键数据概览</w:t>
            </w:r>
          </w:p>
        </w:tc>
        <w:tc>
          <w:tcPr>
            <w:tcW w:w="197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各管理流程</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SLA达成情况</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与服务级别目标相对应的绩效，各指标达成率统计</w:t>
            </w:r>
          </w:p>
        </w:tc>
        <w:tc>
          <w:tcPr>
            <w:tcW w:w="197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服务级别管理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未达标项分析</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未达标的SLA项、原因分析、改进措施</w:t>
            </w:r>
          </w:p>
        </w:tc>
        <w:tc>
          <w:tcPr>
            <w:tcW w:w="197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问题管理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重大事件信息</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重大事件列表、影响分析、处理结果</w:t>
            </w:r>
          </w:p>
        </w:tc>
        <w:tc>
          <w:tcPr>
            <w:tcW w:w="197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事件管理、应急管理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工作量特征</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工作量统计、周期性变化趋势</w:t>
            </w:r>
          </w:p>
        </w:tc>
        <w:tc>
          <w:tcPr>
            <w:tcW w:w="197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运维记录</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趋势信息</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事件趋势、问题趋势、工作量趋势分析</w:t>
            </w:r>
          </w:p>
        </w:tc>
        <w:tc>
          <w:tcPr>
            <w:tcW w:w="197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各管理流程</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客户满意度</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满意度调查结果、投诉分析</w:t>
            </w:r>
          </w:p>
        </w:tc>
        <w:tc>
          <w:tcPr>
            <w:tcW w:w="197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满意度管理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1784"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改进计划执行情况</w:t>
            </w:r>
          </w:p>
        </w:tc>
        <w:tc>
          <w:tcPr>
            <w:tcW w:w="4736"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上期改进计划完成情况、效果评估</w:t>
            </w:r>
          </w:p>
        </w:tc>
        <w:tc>
          <w:tcPr>
            <w:tcW w:w="1975"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改进管理</w:t>
            </w:r>
          </w:p>
        </w:tc>
      </w:tr>
    </w:tbl>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bookmarkStart w:id="25" w:name="_Toc16691"/>
      <w:r>
        <w:rPr>
          <w:rFonts w:hint="default"/>
          <w:lang w:val="en-US" w:eastAsia="zh-CN"/>
        </w:rPr>
        <w:t xml:space="preserve"> 专项报告内容要求表</w:t>
      </w:r>
      <w:bookmarkEnd w:id="25"/>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390"/>
        <w:gridCol w:w="5129"/>
        <w:gridCol w:w="1976"/>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报告类型</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内容要求</w:t>
            </w:r>
          </w:p>
        </w:tc>
        <w:tc>
          <w:tcPr>
            <w:tcW w:w="1976"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适用场景</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重大事件报告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事件描述、影响范围、处理过程、根本原因、改进措施</w:t>
            </w:r>
          </w:p>
        </w:tc>
        <w:tc>
          <w:tcPr>
            <w:tcW w:w="1976"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重大故障、安全事件</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专项改进报告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改进背景、改进目标、改进措施、实施过程、效果验证</w:t>
            </w:r>
          </w:p>
        </w:tc>
        <w:tc>
          <w:tcPr>
            <w:tcW w:w="1976"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专项改进项目</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项目验收报告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项目概况、交付内容、验收标准、验收结论、客户确认</w:t>
            </w:r>
          </w:p>
        </w:tc>
        <w:tc>
          <w:tcPr>
            <w:tcW w:w="1976"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运维项目验收</w:t>
            </w:r>
          </w:p>
        </w:tc>
      </w:tr>
      <w:tr>
        <w:tblPrEx>
          <w:tblW w:w="8495" w:type="dxa"/>
          <w:jc w:val="center"/>
          <w:shd w:val="clear" w:color="auto" w:fill="auto"/>
          <w:tblCellMar>
            <w:top w:w="15" w:type="dxa"/>
            <w:left w:w="15" w:type="dxa"/>
            <w:bottom w:w="15" w:type="dxa"/>
            <w:right w:w="15" w:type="dxa"/>
          </w:tblCellMar>
        </w:tblPrEx>
        <w:trPr>
          <w:trHeight w:val="0"/>
          <w:jc w:val="center"/>
        </w:trPr>
        <w:tc>
          <w:tcPr>
            <w:tcW w:w="1390"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应急演练报告</w:t>
            </w:r>
          </w:p>
        </w:tc>
        <w:tc>
          <w:tcPr>
            <w:tcW w:w="5129"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演练目的、演练过程、演练效果、存在问题、改进建议</w:t>
            </w:r>
          </w:p>
        </w:tc>
        <w:tc>
          <w:tcPr>
            <w:tcW w:w="1976"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应急演练</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6" w:name="_Toc7931"/>
      <w:r>
        <w:rPr>
          <w:rFonts w:hint="eastAsia"/>
          <w:lang w:val="en-US" w:eastAsia="zh-CN"/>
        </w:rPr>
        <w:t>服务报告编制原则</w:t>
      </w:r>
      <w:bookmarkEnd w:id="2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在编制各类服务报告时，应遵循以下原则：</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针对性原则：根据报告类型和受众需求，选择合适的内容模块，避免内容冗余或缺失；</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准确性原则：确保数据来源可靠，统计口径一致，计算准确无误；</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及时性原则：严格按照规定的周期和时间完成报告编制和提交；</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可读性原则：使用规范的图表辅助说明，语言简洁明了，便于阅读和理解；</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保密性原则：根据报告密级控制分发范围，保护客户和公司信息安全。</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7" w:name="_Toc24144"/>
      <w:r>
        <w:rPr>
          <w:rFonts w:hint="default"/>
          <w:lang w:val="en-US" w:eastAsia="zh-CN"/>
        </w:rPr>
        <w:t>服务报告管理流程</w:t>
      </w:r>
      <w:bookmarkEnd w:id="27"/>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8" w:name="_Toc4290"/>
      <w:r>
        <w:rPr>
          <w:rFonts w:hint="default"/>
          <w:lang w:val="en-US" w:eastAsia="zh-CN"/>
        </w:rPr>
        <w:t xml:space="preserve"> 服务报告管理流程图</w:t>
      </w:r>
      <w:bookmarkEnd w:id="2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627.6pt;width:331.7pt" o:oleicon="f" o:ole="" coordsize="21600,21600" o:preferrelative="t" filled="f" stroked="f">
            <v:stroke joinstyle="miter"/>
            <v:imagedata r:id="rId4" o:title=""/>
            <o:lock v:ext="edit" aspectratio="t"/>
            <w10:anchorlock/>
          </v:shape>
          <o:OLEObject Type="Embed" ProgID="Visio.Drawing.15" ShapeID="_x0000_i1025" DrawAspect="Content" ObjectID="_1468075725" r:id="rId5"/>
        </w:object>
      </w:r>
    </w:p>
    <w:p>
      <w:pPr>
        <w:rPr>
          <w:rFonts w:hint="eastAsia"/>
          <w:lang w:val="en-US" w:eastAsia="zh-CN"/>
        </w:rPr>
      </w:pPr>
      <w:r>
        <w:rPr>
          <w:rFonts w:hint="eastAsia"/>
          <w:lang w:val="en-US" w:eastAsia="zh-CN"/>
        </w:rPr>
        <w:br w:type="page"/>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9" w:name="_Toc24791"/>
      <w:r>
        <w:rPr>
          <w:rFonts w:hint="default"/>
          <w:lang w:val="en-US" w:eastAsia="zh-CN"/>
        </w:rPr>
        <w:t xml:space="preserve"> 服务报告管理流程表</w:t>
      </w:r>
      <w:bookmarkEnd w:id="29"/>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802"/>
        <w:gridCol w:w="2920"/>
        <w:gridCol w:w="2920"/>
        <w:gridCol w:w="1853"/>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步骤</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活动名称</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责任部门/角色</w:t>
            </w:r>
          </w:p>
        </w:tc>
        <w:tc>
          <w:tcPr>
            <w:tcW w:w="1853"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输出文件</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识别报告要素</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w:t>
            </w:r>
          </w:p>
        </w:tc>
        <w:tc>
          <w:tcPr>
            <w:tcW w:w="185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报告要素清单</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收集分析报告数据</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运维工程师、服务台</w:t>
            </w:r>
          </w:p>
        </w:tc>
        <w:tc>
          <w:tcPr>
            <w:tcW w:w="185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原始数据记录</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编写服务报告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w:t>
            </w:r>
          </w:p>
        </w:tc>
        <w:tc>
          <w:tcPr>
            <w:tcW w:w="185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服务报告草案</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4</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服务报告评审</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质量部组织</w:t>
            </w:r>
          </w:p>
        </w:tc>
        <w:tc>
          <w:tcPr>
            <w:tcW w:w="185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评审记录</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5</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服务报告审批</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运维部经理</w:t>
            </w:r>
          </w:p>
        </w:tc>
        <w:tc>
          <w:tcPr>
            <w:tcW w:w="185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审批意见</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6</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提交/分发服务报告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w:t>
            </w:r>
          </w:p>
        </w:tc>
        <w:tc>
          <w:tcPr>
            <w:tcW w:w="185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正式服务报告</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7</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归档保存</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人力部</w:t>
            </w:r>
          </w:p>
        </w:tc>
        <w:tc>
          <w:tcPr>
            <w:tcW w:w="185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归档记录</w:t>
            </w:r>
          </w:p>
        </w:tc>
      </w:tr>
      <w:tr>
        <w:tblPrEx>
          <w:tblW w:w="8495" w:type="dxa"/>
          <w:jc w:val="center"/>
          <w:shd w:val="clear" w:color="auto" w:fill="auto"/>
          <w:tblCellMar>
            <w:top w:w="15" w:type="dxa"/>
            <w:left w:w="15" w:type="dxa"/>
            <w:bottom w:w="15" w:type="dxa"/>
            <w:right w:w="15" w:type="dxa"/>
          </w:tblCellMar>
        </w:tblPrEx>
        <w:trPr>
          <w:trHeight w:val="0"/>
          <w:jc w:val="center"/>
        </w:trPr>
        <w:tc>
          <w:tcPr>
            <w:tcW w:w="802"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8</w:t>
            </w:r>
          </w:p>
        </w:tc>
        <w:tc>
          <w:tcPr>
            <w:tcW w:w="2920"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服务报告回顾与改进</w:t>
            </w:r>
          </w:p>
        </w:tc>
        <w:tc>
          <w:tcPr>
            <w:tcW w:w="2920"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质量部、运维部</w:t>
            </w:r>
          </w:p>
        </w:tc>
        <w:tc>
          <w:tcPr>
            <w:tcW w:w="1853"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改进计划</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0" w:name="_Toc21667"/>
      <w:r>
        <w:rPr>
          <w:rFonts w:hint="default"/>
          <w:lang w:val="en-US" w:eastAsia="zh-CN"/>
        </w:rPr>
        <w:t>过程描述</w:t>
      </w:r>
      <w:bookmarkEnd w:id="30"/>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1" w:name="_Toc30113"/>
      <w:r>
        <w:rPr>
          <w:rFonts w:hint="default"/>
          <w:lang w:val="en-US" w:eastAsia="zh-CN"/>
        </w:rPr>
        <w:t>识别报告要素</w:t>
      </w:r>
      <w:bookmarkEnd w:id="3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运维项目经理根据服务级别协议、客户要求和内部管理需求，识别服务报告中需要提供的数据和度量指标。</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8</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32" w:name="_Toc7171"/>
      <w:r>
        <w:rPr>
          <w:rFonts w:hint="default"/>
          <w:lang w:val="en-US" w:eastAsia="zh-CN"/>
        </w:rPr>
        <w:t xml:space="preserve"> 报告要素识别表</w:t>
      </w:r>
      <w:bookmarkEnd w:id="32"/>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478"/>
        <w:gridCol w:w="2257"/>
        <w:gridCol w:w="4760"/>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报告类型</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识别依据</w:t>
            </w:r>
          </w:p>
        </w:tc>
        <w:tc>
          <w:tcPr>
            <w:tcW w:w="4760"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需识别的要素</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服务级别报告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SLA协议、客户要求</w:t>
            </w:r>
          </w:p>
        </w:tc>
        <w:tc>
          <w:tcPr>
            <w:tcW w:w="476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SLA指标达成情况、响应时间、解决时间、可用性</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日常运维报告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内部管理需求</w:t>
            </w:r>
          </w:p>
        </w:tc>
        <w:tc>
          <w:tcPr>
            <w:tcW w:w="476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事件数量、问题数量、变更数量、工作量</w:t>
            </w:r>
          </w:p>
        </w:tc>
      </w:tr>
      <w:tr>
        <w:tblPrEx>
          <w:tblW w:w="8495" w:type="dxa"/>
          <w:jc w:val="center"/>
          <w:shd w:val="clear" w:color="auto" w:fill="auto"/>
          <w:tblCellMar>
            <w:top w:w="15" w:type="dxa"/>
            <w:left w:w="15" w:type="dxa"/>
            <w:bottom w:w="15" w:type="dxa"/>
            <w:right w:w="15" w:type="dxa"/>
          </w:tblCellMar>
        </w:tblPrEx>
        <w:trPr>
          <w:trHeight w:val="0"/>
          <w:jc w:val="center"/>
        </w:trPr>
        <w:tc>
          <w:tcPr>
            <w:tcW w:w="1478"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专项报告</w:t>
            </w:r>
          </w:p>
        </w:tc>
        <w:tc>
          <w:tcPr>
            <w:tcW w:w="2257"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特定事件/项目需求</w:t>
            </w:r>
          </w:p>
        </w:tc>
        <w:tc>
          <w:tcPr>
            <w:tcW w:w="4760"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事件描述、处理过程、改进措施、验收标准</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3" w:name="_Toc25590"/>
      <w:r>
        <w:rPr>
          <w:rFonts w:hint="default"/>
          <w:lang w:val="en-US" w:eastAsia="zh-CN"/>
        </w:rPr>
        <w:t>收集分析报告数据</w:t>
      </w:r>
      <w:bookmarkEnd w:id="3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运维工程师、服务台专员等数据提供方，在服务过程中及时收集识别出的数据和指标，并进行初步整理。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数据收集要求：</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及时性：按要求的频次及时收集数据；</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准确性：确保数据来源可靠、记录准确；</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完整性：确保数据覆盖所有需要统计的项；</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可追溯性：原始数据应保留备查。</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数据分析要求：</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趋势分析：对数据进行周期性对比，分析变化趋势；</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根因分析：对异常数据进行原因分析；</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关联分析：分析不同数据之间的关联关系；</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预测分析：基于历史数据预测未来趋势。</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4" w:name="_Toc19832"/>
      <w:r>
        <w:rPr>
          <w:rFonts w:hint="default"/>
          <w:lang w:val="en-US" w:eastAsia="zh-CN"/>
        </w:rPr>
        <w:t>编写服务报告</w:t>
      </w:r>
      <w:bookmarkEnd w:id="3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运维项目经理把经过分析的数据，按照公司统一规定的格式和形式，编写《服务报告》。</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报告编写要求：</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格式统一：使用公司规定的报告模板；</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数据准确：确保数据统计口径一致、计算准确；</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分析深入：不仅罗列数据，还要进行分析和解读；</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结论明确：提出明确的结论和改进建议；</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可读性强：使用图表辅助说明，便于阅读。</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5" w:name="_Toc14878"/>
      <w:r>
        <w:rPr>
          <w:rFonts w:hint="default"/>
          <w:lang w:val="en-US" w:eastAsia="zh-CN"/>
        </w:rPr>
        <w:t>服务报告评审</w:t>
      </w:r>
      <w:bookmarkEnd w:id="3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服务报告编制完成后，由质量部组织评审。评审内容包括：</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报告内容的完整性和准确性；</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数据统计的正确性；</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分析的合理性和深度；</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改进建议的可行性；</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报告格式的规范性。</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评审通过后，提交运维部经理审批；评审不通过，返回修改。</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6" w:name="_Toc25757"/>
      <w:r>
        <w:rPr>
          <w:rFonts w:hint="default"/>
          <w:lang w:val="en-US" w:eastAsia="zh-CN"/>
        </w:rPr>
        <w:t>服务报告审批</w:t>
      </w:r>
      <w:bookmarkEnd w:id="3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运维部经理对服务报告进行审批，重点审核：</w:t>
      </w:r>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报告是否满足客户和管理者需求；</w:t>
      </w:r>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数据和结论是否可靠；</w:t>
      </w:r>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改进建议是否合理。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遇特别重要的报告（如年度报告、重大事件报告），需提交总经理审核。</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7" w:name="_Toc4091"/>
      <w:r>
        <w:rPr>
          <w:rFonts w:hint="default"/>
          <w:lang w:val="en-US" w:eastAsia="zh-CN"/>
        </w:rPr>
        <w:t>提交/分发服务报告</w:t>
      </w:r>
      <w:bookmarkEnd w:id="3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经审批通过的服务报告，按照分发矩阵提交给相关对象。</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8" w:name="_Toc22717"/>
      <w:r>
        <w:rPr>
          <w:rFonts w:hint="default"/>
          <w:lang w:val="en-US" w:eastAsia="zh-CN"/>
        </w:rPr>
        <w:t>服务报告分发活动</w:t>
      </w:r>
      <w:bookmarkEnd w:id="38"/>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9" w:name="_Toc31635"/>
      <w:r>
        <w:rPr>
          <w:rFonts w:hint="default"/>
          <w:lang w:val="en-US" w:eastAsia="zh-CN"/>
        </w:rPr>
        <w:t>服务报告分发矩阵</w:t>
      </w:r>
      <w:bookmarkEnd w:id="39"/>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9</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40" w:name="_Toc213"/>
      <w:r>
        <w:rPr>
          <w:rFonts w:hint="default"/>
          <w:lang w:val="en-US" w:eastAsia="zh-CN"/>
        </w:rPr>
        <w:t xml:space="preserve"> 服务报告分发矩阵表</w:t>
      </w:r>
      <w:bookmarkEnd w:id="40"/>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312"/>
        <w:gridCol w:w="2537"/>
        <w:gridCol w:w="1601"/>
        <w:gridCol w:w="1762"/>
        <w:gridCol w:w="1310"/>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313"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报告类型</w:t>
            </w:r>
          </w:p>
        </w:tc>
        <w:tc>
          <w:tcPr>
            <w:tcW w:w="2537"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分发对象</w:t>
            </w:r>
          </w:p>
        </w:tc>
        <w:tc>
          <w:tcPr>
            <w:tcW w:w="1601"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分发方式</w:t>
            </w:r>
          </w:p>
        </w:tc>
        <w:tc>
          <w:tcPr>
            <w:tcW w:w="1762"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分发时限</w:t>
            </w:r>
          </w:p>
        </w:tc>
        <w:tc>
          <w:tcPr>
            <w:tcW w:w="1310"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责任人</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13"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日常运维报告</w:t>
            </w:r>
          </w:p>
        </w:tc>
        <w:tc>
          <w:tcPr>
            <w:tcW w:w="2537"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运维部经理、研发部经理</w:t>
            </w:r>
          </w:p>
        </w:tc>
        <w:tc>
          <w:tcPr>
            <w:tcW w:w="160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邮件、内部共享</w:t>
            </w:r>
          </w:p>
        </w:tc>
        <w:tc>
          <w:tcPr>
            <w:tcW w:w="176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每周一12:00前</w:t>
            </w:r>
          </w:p>
        </w:tc>
        <w:tc>
          <w:tcPr>
            <w:tcW w:w="131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13"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服务级别报告</w:t>
            </w:r>
          </w:p>
        </w:tc>
        <w:tc>
          <w:tcPr>
            <w:tcW w:w="2537"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客户、运维部经理、质量部经理</w:t>
            </w:r>
          </w:p>
        </w:tc>
        <w:tc>
          <w:tcPr>
            <w:tcW w:w="160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邮件、正式发文</w:t>
            </w:r>
          </w:p>
        </w:tc>
        <w:tc>
          <w:tcPr>
            <w:tcW w:w="176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周期结束后5个工作日内</w:t>
            </w:r>
          </w:p>
        </w:tc>
        <w:tc>
          <w:tcPr>
            <w:tcW w:w="131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13"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季度服务报告</w:t>
            </w:r>
          </w:p>
        </w:tc>
        <w:tc>
          <w:tcPr>
            <w:tcW w:w="2537"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客户、管理层、质量部</w:t>
            </w:r>
          </w:p>
        </w:tc>
        <w:tc>
          <w:tcPr>
            <w:tcW w:w="160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邮件、正式发文</w:t>
            </w:r>
          </w:p>
        </w:tc>
        <w:tc>
          <w:tcPr>
            <w:tcW w:w="176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季度结束后10个工作日内</w:t>
            </w:r>
          </w:p>
        </w:tc>
        <w:tc>
          <w:tcPr>
            <w:tcW w:w="131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运维部经理</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13"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年度服务报告</w:t>
            </w:r>
          </w:p>
        </w:tc>
        <w:tc>
          <w:tcPr>
            <w:tcW w:w="2537"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客户、管理层、质量部、人力部</w:t>
            </w:r>
          </w:p>
        </w:tc>
        <w:tc>
          <w:tcPr>
            <w:tcW w:w="160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正式发文、会议汇报</w:t>
            </w:r>
          </w:p>
        </w:tc>
        <w:tc>
          <w:tcPr>
            <w:tcW w:w="176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年度结束后15个工作日内</w:t>
            </w:r>
          </w:p>
        </w:tc>
        <w:tc>
          <w:tcPr>
            <w:tcW w:w="131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运维部经理</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13"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重大事件报告</w:t>
            </w:r>
          </w:p>
        </w:tc>
        <w:tc>
          <w:tcPr>
            <w:tcW w:w="2537"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客户、管理层、质量部</w:t>
            </w:r>
          </w:p>
        </w:tc>
        <w:tc>
          <w:tcPr>
            <w:tcW w:w="160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邮件、专题会议</w:t>
            </w:r>
          </w:p>
        </w:tc>
        <w:tc>
          <w:tcPr>
            <w:tcW w:w="176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事件处理后3个工作日内</w:t>
            </w:r>
          </w:p>
        </w:tc>
        <w:tc>
          <w:tcPr>
            <w:tcW w:w="131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运维部经理</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13"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专项改进报告</w:t>
            </w:r>
          </w:p>
        </w:tc>
        <w:tc>
          <w:tcPr>
            <w:tcW w:w="2537"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管理层、质量部</w:t>
            </w:r>
          </w:p>
        </w:tc>
        <w:tc>
          <w:tcPr>
            <w:tcW w:w="1601"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邮件、会议汇报</w:t>
            </w:r>
          </w:p>
        </w:tc>
        <w:tc>
          <w:tcPr>
            <w:tcW w:w="1762"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改进完成后5个工作日内</w:t>
            </w:r>
          </w:p>
        </w:tc>
        <w:tc>
          <w:tcPr>
            <w:tcW w:w="1310"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1" w:name="_Toc17066"/>
      <w:r>
        <w:rPr>
          <w:rFonts w:hint="default"/>
          <w:lang w:val="en-US" w:eastAsia="zh-CN"/>
        </w:rPr>
        <w:t>分发要求</w:t>
      </w:r>
      <w:bookmarkEnd w:id="4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确认接收：重要报告应确认对方已接收；</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保密要求：按保密级别控制分发范围；</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版本控制：确保分发的是最终版本；</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反馈收集：收集接收方对报告的反馈意见。</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2" w:name="_Toc10699"/>
      <w:r>
        <w:rPr>
          <w:rFonts w:hint="default"/>
          <w:lang w:val="en-US" w:eastAsia="zh-CN"/>
        </w:rPr>
        <w:t>服务报告评审与改进</w:t>
      </w:r>
      <w:bookmarkEnd w:id="42"/>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3" w:name="_Toc7594"/>
      <w:r>
        <w:rPr>
          <w:rFonts w:hint="default"/>
          <w:lang w:val="en-US" w:eastAsia="zh-CN"/>
        </w:rPr>
        <w:t>定期评审</w:t>
      </w:r>
      <w:bookmarkEnd w:id="4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质量部每季度组织一次服务报告管理过程的评审，评审内容包括：</w:t>
      </w:r>
    </w:p>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服务报告的及时性、准确性和完整性；</w:t>
      </w:r>
    </w:p>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报告分发活动的有效性；</w:t>
      </w:r>
    </w:p>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接收方对报告的满意度；</w:t>
      </w:r>
    </w:p>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报告使用情况和对决策的支持效果；</w:t>
      </w:r>
    </w:p>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报告管理过程中存在的问题和改进机会。</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4" w:name="_Toc27384"/>
      <w:r>
        <w:rPr>
          <w:rFonts w:hint="default"/>
          <w:lang w:val="en-US" w:eastAsia="zh-CN"/>
        </w:rPr>
        <w:t>服务报告评审表</w:t>
      </w:r>
      <w:bookmarkEnd w:id="44"/>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10</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45" w:name="_Toc4378"/>
      <w:r>
        <w:rPr>
          <w:rFonts w:hint="default"/>
          <w:lang w:val="en-US" w:eastAsia="zh-CN"/>
        </w:rPr>
        <w:t xml:space="preserve"> 服务报告评审表</w:t>
      </w:r>
      <w:bookmarkEnd w:id="45"/>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267"/>
        <w:gridCol w:w="3788"/>
        <w:gridCol w:w="1905"/>
        <w:gridCol w:w="1535"/>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评审项目</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评审内容</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评分（1-5）</w:t>
            </w:r>
          </w:p>
        </w:tc>
        <w:tc>
          <w:tcPr>
            <w:tcW w:w="1535"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改进建议</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及时性</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报告是否按时提交和分发</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snapToGrid w:val="0"/>
              <w:ind w:left="0" w:right="0" w:firstLine="0" w:leftChars="0" w:rightChars="0" w:firstLineChars="0"/>
              <w:jc w:val="left"/>
              <w:rPr>
                <w:rFonts w:ascii="Segoe UI" w:eastAsia="Segoe UI" w:hAnsi="Segoe UI" w:cs="Segoe UI" w:hint="default"/>
                <w:i w:val="0"/>
                <w:iCs w:val="0"/>
                <w:caps w:val="0"/>
                <w:color w:val="0F1115"/>
                <w:spacing w:val="0"/>
                <w:sz w:val="18"/>
                <w:szCs w:val="18"/>
              </w:rPr>
            </w:pPr>
          </w:p>
        </w:tc>
        <w:tc>
          <w:tcPr>
            <w:tcW w:w="153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准确性</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数据是否准确、计算是否正确</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snapToGrid w:val="0"/>
              <w:ind w:left="0" w:right="0" w:firstLine="0" w:leftChars="0" w:rightChars="0" w:firstLineChars="0"/>
              <w:jc w:val="left"/>
              <w:rPr>
                <w:rFonts w:ascii="Segoe UI" w:eastAsia="Segoe UI" w:hAnsi="Segoe UI" w:cs="Segoe UI" w:hint="default"/>
                <w:i w:val="0"/>
                <w:iCs w:val="0"/>
                <w:caps w:val="0"/>
                <w:color w:val="0F1115"/>
                <w:spacing w:val="0"/>
                <w:sz w:val="18"/>
                <w:szCs w:val="18"/>
              </w:rPr>
            </w:pPr>
          </w:p>
        </w:tc>
        <w:tc>
          <w:tcPr>
            <w:tcW w:w="153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完整性</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内容是否完整覆盖要求</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snapToGrid w:val="0"/>
              <w:ind w:left="0" w:right="0" w:firstLine="0" w:leftChars="0" w:rightChars="0" w:firstLineChars="0"/>
              <w:jc w:val="left"/>
              <w:rPr>
                <w:rFonts w:ascii="Segoe UI" w:eastAsia="Segoe UI" w:hAnsi="Segoe UI" w:cs="Segoe UI" w:hint="default"/>
                <w:i w:val="0"/>
                <w:iCs w:val="0"/>
                <w:caps w:val="0"/>
                <w:color w:val="0F1115"/>
                <w:spacing w:val="0"/>
                <w:sz w:val="18"/>
                <w:szCs w:val="18"/>
              </w:rPr>
            </w:pPr>
          </w:p>
        </w:tc>
        <w:tc>
          <w:tcPr>
            <w:tcW w:w="153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可读性</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格式是否规范、图表是否清晰</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snapToGrid w:val="0"/>
              <w:ind w:left="0" w:right="0" w:firstLine="0" w:leftChars="0" w:rightChars="0" w:firstLineChars="0"/>
              <w:jc w:val="left"/>
              <w:rPr>
                <w:rFonts w:ascii="Segoe UI" w:eastAsia="Segoe UI" w:hAnsi="Segoe UI" w:cs="Segoe UI" w:hint="default"/>
                <w:i w:val="0"/>
                <w:iCs w:val="0"/>
                <w:caps w:val="0"/>
                <w:color w:val="0F1115"/>
                <w:spacing w:val="0"/>
                <w:sz w:val="18"/>
                <w:szCs w:val="18"/>
              </w:rPr>
            </w:pPr>
          </w:p>
        </w:tc>
        <w:tc>
          <w:tcPr>
            <w:tcW w:w="153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分析深度</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分析是否深入、结论是否明确</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snapToGrid w:val="0"/>
              <w:ind w:left="0" w:right="0" w:firstLine="0" w:leftChars="0" w:rightChars="0" w:firstLineChars="0"/>
              <w:jc w:val="left"/>
              <w:rPr>
                <w:rFonts w:ascii="Segoe UI" w:eastAsia="Segoe UI" w:hAnsi="Segoe UI" w:cs="Segoe UI" w:hint="default"/>
                <w:i w:val="0"/>
                <w:iCs w:val="0"/>
                <w:caps w:val="0"/>
                <w:color w:val="0F1115"/>
                <w:spacing w:val="0"/>
                <w:sz w:val="18"/>
                <w:szCs w:val="18"/>
              </w:rPr>
            </w:pPr>
          </w:p>
        </w:tc>
        <w:tc>
          <w:tcPr>
            <w:tcW w:w="153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改进导向</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是否提出可行的改进建议</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snapToGrid w:val="0"/>
              <w:ind w:left="0" w:right="0" w:firstLine="0" w:leftChars="0" w:rightChars="0" w:firstLineChars="0"/>
              <w:jc w:val="left"/>
              <w:rPr>
                <w:rFonts w:ascii="Segoe UI" w:eastAsia="Segoe UI" w:hAnsi="Segoe UI" w:cs="Segoe UI" w:hint="default"/>
                <w:i w:val="0"/>
                <w:iCs w:val="0"/>
                <w:caps w:val="0"/>
                <w:color w:val="0F1115"/>
                <w:spacing w:val="0"/>
                <w:sz w:val="18"/>
                <w:szCs w:val="18"/>
              </w:rPr>
            </w:pPr>
          </w:p>
        </w:tc>
        <w:tc>
          <w:tcPr>
            <w:tcW w:w="153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r>
      <w:tr>
        <w:tblPrEx>
          <w:tblW w:w="8495" w:type="dxa"/>
          <w:jc w:val="center"/>
          <w:shd w:val="clear" w:color="auto" w:fill="auto"/>
          <w:tblCellMar>
            <w:top w:w="15" w:type="dxa"/>
            <w:left w:w="15" w:type="dxa"/>
            <w:bottom w:w="15" w:type="dxa"/>
            <w:right w:w="15" w:type="dxa"/>
          </w:tblCellMar>
        </w:tblPrEx>
        <w:trPr>
          <w:trHeight w:val="0"/>
          <w:jc w:val="center"/>
        </w:trPr>
        <w:tc>
          <w:tcPr>
            <w:tcW w:w="1267"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客户反馈</w:t>
            </w:r>
          </w:p>
        </w:tc>
        <w:tc>
          <w:tcPr>
            <w:tcW w:w="3788"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客户对报告的满意度</w:t>
            </w:r>
          </w:p>
        </w:tc>
        <w:tc>
          <w:tcPr>
            <w:tcW w:w="1905"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snapToGrid w:val="0"/>
              <w:ind w:left="0" w:right="0" w:firstLine="0" w:leftChars="0" w:rightChars="0" w:firstLineChars="0"/>
              <w:jc w:val="left"/>
              <w:rPr>
                <w:rFonts w:ascii="Segoe UI" w:eastAsia="Segoe UI" w:hAnsi="Segoe UI" w:cs="Segoe UI" w:hint="default"/>
                <w:i w:val="0"/>
                <w:iCs w:val="0"/>
                <w:caps w:val="0"/>
                <w:color w:val="0F1115"/>
                <w:spacing w:val="0"/>
                <w:sz w:val="18"/>
                <w:szCs w:val="18"/>
              </w:rPr>
            </w:pPr>
          </w:p>
        </w:tc>
        <w:tc>
          <w:tcPr>
            <w:tcW w:w="1535" w:type="dxa"/>
            <w:tcBorders>
              <w:top w:val="single" w:sz="4" w:space="0" w:color="auto"/>
              <w:left w:val="single" w:sz="4" w:space="0" w:color="auto"/>
              <w:bottom w:val="single" w:sz="12" w:space="0" w:color="auto"/>
              <w:right w:val="single" w:sz="12" w:space="0" w:color="auto"/>
            </w:tcBorders>
            <w:shd w:val="clear" w:color="auto" w:fill="auto"/>
            <w:tcMar>
              <w:top w:w="-1" w:type="dxa"/>
              <w:left w:w="-1" w:type="dxa"/>
              <w:bottom w:w="-1" w:type="dxa"/>
              <w:right w:w="-1" w:type="dxa"/>
            </w:tcMar>
            <w:vAlign w:val="center"/>
          </w:tcPr>
          <w:p>
            <w:pPr>
              <w:snapToGrid w:val="0"/>
              <w:ind w:left="0" w:right="0" w:firstLine="0" w:leftChars="0" w:rightChars="0" w:firstLineChars="0"/>
              <w:jc w:val="center"/>
              <w:rPr>
                <w:rFonts w:ascii="Segoe UI" w:eastAsia="Segoe UI" w:hAnsi="Segoe UI" w:cs="Segoe UI" w:hint="eastAsia"/>
                <w:i w:val="0"/>
                <w:iCs w:val="0"/>
                <w:caps w:val="0"/>
                <w:color w:val="0F1115"/>
                <w:spacing w:val="0"/>
                <w:sz w:val="18"/>
                <w:szCs w:val="19"/>
              </w:rPr>
            </w:pP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6" w:name="_Toc23100"/>
      <w:r>
        <w:rPr>
          <w:rFonts w:hint="default"/>
          <w:lang w:val="en-US" w:eastAsia="zh-CN"/>
        </w:rPr>
        <w:t>改进机制</w:t>
      </w:r>
      <w:bookmarkEnd w:id="4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根据评审结果，制定改进计划，纳入持续改进流程：</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识别改进项：从评审中识别需要改进的内容；</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制定改进计划：明确改进措施、责任人、完成时限；</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实施改进：落实改进措施；</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验证效果：评估改进效果；</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标准化：将成功的改进纳入制度规范。</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7" w:name="_Toc20760"/>
      <w:r>
        <w:rPr>
          <w:rFonts w:hint="default"/>
          <w:lang w:val="en-US" w:eastAsia="zh-CN"/>
        </w:rPr>
        <w:t>KPI指标</w:t>
      </w:r>
      <w:bookmarkEnd w:id="47"/>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48" w:name="_Toc5602"/>
      <w:r>
        <w:rPr>
          <w:rFonts w:hint="default"/>
          <w:lang w:val="en-US" w:eastAsia="zh-CN"/>
        </w:rPr>
        <w:t xml:space="preserve"> KPI指标表</w:t>
      </w:r>
      <w:bookmarkEnd w:id="48"/>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2383"/>
        <w:gridCol w:w="3804"/>
        <w:gridCol w:w="1008"/>
        <w:gridCol w:w="1327"/>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2383"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指标</w:t>
            </w:r>
            <w:r>
              <w:rPr>
                <w:rFonts w:ascii="Segoe UI" w:eastAsia="Segoe UI" w:hAnsi="Segoe UI" w:cs="Segoe UI" w:hint="eastAsia"/>
                <w:b/>
                <w:i w:val="0"/>
                <w:iCs w:val="0"/>
                <w:caps w:val="0"/>
                <w:snapToGrid w:val="0"/>
                <w:color w:val="000000"/>
                <w:spacing w:val="0"/>
                <w:kern w:val="0"/>
                <w:sz w:val="18"/>
                <w:szCs w:val="18"/>
                <w:lang w:val="en-US" w:eastAsia="zh-CN"/>
              </w:rPr>
              <w:t>名称</w:t>
            </w:r>
          </w:p>
        </w:tc>
        <w:tc>
          <w:tcPr>
            <w:tcW w:w="3804"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eastAsia"/>
                <w:b/>
                <w:i w:val="0"/>
                <w:iCs w:val="0"/>
                <w:caps w:val="0"/>
                <w:snapToGrid w:val="0"/>
                <w:color w:val="000000"/>
                <w:spacing w:val="0"/>
                <w:kern w:val="0"/>
                <w:sz w:val="18"/>
                <w:szCs w:val="18"/>
                <w:lang w:val="en-US" w:eastAsia="zh-CN"/>
              </w:rPr>
              <w:t>指标计算</w:t>
            </w:r>
            <w:r>
              <w:rPr>
                <w:rFonts w:ascii="Segoe UI" w:eastAsia="Segoe UI" w:hAnsi="Segoe UI" w:cs="Segoe UI" w:hint="default"/>
                <w:b/>
                <w:i w:val="0"/>
                <w:iCs w:val="0"/>
                <w:caps w:val="0"/>
                <w:snapToGrid w:val="0"/>
                <w:color w:val="000000"/>
                <w:spacing w:val="0"/>
                <w:kern w:val="0"/>
                <w:sz w:val="18"/>
                <w:szCs w:val="18"/>
                <w:lang w:val="en-US" w:eastAsia="zh-CN"/>
              </w:rPr>
              <w:t>方式</w:t>
            </w:r>
          </w:p>
        </w:tc>
        <w:tc>
          <w:tcPr>
            <w:tcW w:w="1008"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eastAsia"/>
                <w:b/>
                <w:i w:val="0"/>
                <w:iCs w:val="0"/>
                <w:caps w:val="0"/>
                <w:color w:val="0F1115"/>
                <w:spacing w:val="0"/>
                <w:sz w:val="18"/>
                <w:szCs w:val="18"/>
                <w:lang w:val="en-US" w:eastAsia="zh-CN"/>
              </w:rPr>
            </w:pPr>
            <w:r>
              <w:rPr>
                <w:rFonts w:ascii="Segoe UI" w:eastAsia="Segoe UI" w:hAnsi="Segoe UI" w:cs="Segoe UI" w:hint="eastAsia"/>
                <w:b/>
                <w:i w:val="0"/>
                <w:iCs w:val="0"/>
                <w:caps w:val="0"/>
                <w:color w:val="0F1115"/>
                <w:spacing w:val="0"/>
                <w:sz w:val="18"/>
                <w:szCs w:val="18"/>
                <w:lang w:val="en-US" w:eastAsia="zh-CN"/>
              </w:rPr>
              <w:t>目标值</w:t>
            </w:r>
          </w:p>
        </w:tc>
        <w:tc>
          <w:tcPr>
            <w:tcW w:w="1327"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lang w:val="en-US"/>
              </w:rPr>
            </w:pPr>
            <w:r>
              <w:rPr>
                <w:rFonts w:ascii="Segoe UI" w:eastAsia="Segoe UI" w:hAnsi="Segoe UI" w:cs="Segoe UI" w:hint="eastAsia"/>
                <w:b/>
                <w:i w:val="0"/>
                <w:iCs w:val="0"/>
                <w:caps w:val="0"/>
                <w:snapToGrid w:val="0"/>
                <w:color w:val="000000"/>
                <w:spacing w:val="0"/>
                <w:kern w:val="0"/>
                <w:sz w:val="18"/>
                <w:szCs w:val="18"/>
                <w:lang w:val="en-US" w:eastAsia="zh-CN"/>
              </w:rPr>
              <w:t>考核频次</w:t>
            </w:r>
          </w:p>
        </w:tc>
      </w:tr>
      <w:tr>
        <w:tblPrEx>
          <w:tblW w:w="8522" w:type="dxa"/>
          <w:jc w:val="center"/>
          <w:shd w:val="clear" w:color="auto" w:fill="auto"/>
          <w:tblCellMar>
            <w:top w:w="15" w:type="dxa"/>
            <w:left w:w="15" w:type="dxa"/>
            <w:bottom w:w="15" w:type="dxa"/>
            <w:right w:w="15" w:type="dxa"/>
          </w:tblCellMar>
        </w:tblPrEx>
        <w:trPr>
          <w:trHeight w:val="0"/>
          <w:jc w:val="center"/>
        </w:trPr>
        <w:tc>
          <w:tcPr>
            <w:tcW w:w="2383"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Arial" w:eastAsia="宋体" w:hAnsi="Arial" w:cs="Arial" w:hint="default"/>
                <w:snapToGrid w:val="0"/>
                <w:color w:val="000000"/>
                <w:kern w:val="0"/>
                <w:sz w:val="24"/>
                <w:szCs w:val="21"/>
                <w:vertAlign w:val="baseline"/>
                <w:lang w:val="en-US" w:eastAsia="zh-CN" w:bidi="ar-SA"/>
              </w:rPr>
            </w:pPr>
            <w:r>
              <w:rPr>
                <w:rFonts w:ascii="Arial" w:eastAsia="宋体" w:hAnsi="Arial" w:cs="Arial" w:hint="default"/>
                <w:snapToGrid w:val="0"/>
                <w:color w:val="000000"/>
                <w:kern w:val="0"/>
                <w:sz w:val="24"/>
                <w:szCs w:val="21"/>
                <w:vertAlign w:val="baseline"/>
                <w:lang w:val="en-US" w:eastAsia="zh-CN" w:bidi="ar-SA"/>
              </w:rPr>
              <w:t>服务报告交付及时率</w:t>
            </w:r>
          </w:p>
        </w:tc>
        <w:tc>
          <w:tcPr>
            <w:tcW w:w="3804"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Arial" w:eastAsia="宋体" w:hAnsi="Arial" w:cs="Arial" w:hint="default"/>
                <w:snapToGrid w:val="0"/>
                <w:color w:val="000000"/>
                <w:kern w:val="0"/>
                <w:sz w:val="24"/>
                <w:szCs w:val="21"/>
                <w:vertAlign w:val="baseline"/>
                <w:lang w:val="en-US" w:eastAsia="zh-CN" w:bidi="ar-SA"/>
              </w:rPr>
            </w:pPr>
            <w:r>
              <w:rPr>
                <w:rFonts w:ascii="Arial" w:eastAsia="宋体" w:hAnsi="Arial" w:cs="Arial" w:hint="default"/>
                <w:snapToGrid w:val="0"/>
                <w:color w:val="000000"/>
                <w:kern w:val="0"/>
                <w:sz w:val="24"/>
                <w:szCs w:val="21"/>
                <w:vertAlign w:val="baseline"/>
                <w:lang w:val="en-US" w:eastAsia="zh-CN" w:bidi="ar-SA"/>
              </w:rPr>
              <w:t>（按时提交的服务报告数量 / 应提交服务报告总数量）×100%</w:t>
            </w:r>
          </w:p>
        </w:tc>
        <w:tc>
          <w:tcPr>
            <w:tcW w:w="1008"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default"/>
                <w:snapToGrid w:val="0"/>
                <w:color w:val="000000"/>
                <w:kern w:val="0"/>
                <w:sz w:val="24"/>
                <w:szCs w:val="21"/>
                <w:vertAlign w:val="baseline"/>
                <w:lang w:val="en-US" w:eastAsia="zh-CN" w:bidi="ar-SA"/>
              </w:rPr>
              <w:t>≥95%</w:t>
            </w:r>
          </w:p>
        </w:tc>
        <w:tc>
          <w:tcPr>
            <w:tcW w:w="132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240" w:lineRule="auto"/>
              <w:ind w:left="0" w:right="0" w:firstLine="0" w:leftChars="0" w:rightChars="0" w:firstLineChars="0"/>
              <w:jc w:val="center"/>
              <w:rPr>
                <w:rFonts w:ascii="Arial" w:eastAsia="宋体" w:hAnsi="Arial" w:cs="Arial" w:hint="default"/>
                <w:snapToGrid w:val="0"/>
                <w:color w:val="000000"/>
                <w:kern w:val="0"/>
                <w:sz w:val="24"/>
                <w:szCs w:val="21"/>
                <w:vertAlign w:val="baseline"/>
                <w:lang w:val="en-US" w:eastAsia="zh-CN" w:bidi="ar-SA"/>
              </w:rPr>
            </w:pPr>
            <w:r>
              <w:rPr>
                <w:rFonts w:cs="Arial" w:hint="eastAsia"/>
                <w:snapToGrid w:val="0"/>
                <w:color w:val="000000"/>
                <w:kern w:val="0"/>
                <w:sz w:val="24"/>
                <w:szCs w:val="21"/>
                <w:vertAlign w:val="baseline"/>
                <w:lang w:val="en-US" w:eastAsia="zh-CN" w:bidi="ar-SA"/>
              </w:rPr>
              <w:t>季度</w:t>
            </w:r>
          </w:p>
        </w:tc>
      </w:tr>
      <w:tr>
        <w:tblPrEx>
          <w:tblW w:w="8522" w:type="dxa"/>
          <w:jc w:val="center"/>
          <w:shd w:val="clear" w:color="auto" w:fill="auto"/>
          <w:tblCellMar>
            <w:top w:w="15" w:type="dxa"/>
            <w:left w:w="15" w:type="dxa"/>
            <w:bottom w:w="15" w:type="dxa"/>
            <w:right w:w="15" w:type="dxa"/>
          </w:tblCellMar>
        </w:tblPrEx>
        <w:trPr>
          <w:trHeight w:val="0"/>
          <w:jc w:val="center"/>
        </w:trPr>
        <w:tc>
          <w:tcPr>
            <w:tcW w:w="2383"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Arial" w:eastAsia="宋体" w:hAnsi="Arial" w:cs="Arial" w:hint="default"/>
                <w:snapToGrid w:val="0"/>
                <w:color w:val="000000"/>
                <w:kern w:val="0"/>
                <w:sz w:val="24"/>
                <w:szCs w:val="21"/>
                <w:vertAlign w:val="baseline"/>
                <w:lang w:val="en-US" w:eastAsia="zh-CN" w:bidi="ar-SA"/>
              </w:rPr>
            </w:pPr>
            <w:r>
              <w:rPr>
                <w:rFonts w:ascii="Arial" w:eastAsia="宋体" w:hAnsi="Arial" w:cs="Arial" w:hint="default"/>
                <w:snapToGrid w:val="0"/>
                <w:color w:val="000000"/>
                <w:kern w:val="0"/>
                <w:sz w:val="24"/>
                <w:szCs w:val="21"/>
                <w:vertAlign w:val="baseline"/>
                <w:lang w:val="en-US" w:eastAsia="zh-CN" w:bidi="ar-SA"/>
              </w:rPr>
              <w:t>服务报告准确率</w:t>
            </w:r>
          </w:p>
        </w:tc>
        <w:tc>
          <w:tcPr>
            <w:tcW w:w="3804"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Arial" w:eastAsia="宋体" w:hAnsi="Arial" w:cs="Arial" w:hint="default"/>
                <w:snapToGrid w:val="0"/>
                <w:color w:val="000000"/>
                <w:kern w:val="0"/>
                <w:sz w:val="24"/>
                <w:szCs w:val="21"/>
                <w:vertAlign w:val="baseline"/>
                <w:lang w:val="en-US" w:eastAsia="zh-CN" w:bidi="ar-SA"/>
              </w:rPr>
            </w:pPr>
            <w:r>
              <w:rPr>
                <w:rFonts w:ascii="Arial" w:eastAsia="宋体" w:hAnsi="Arial" w:cs="Arial" w:hint="default"/>
                <w:snapToGrid w:val="0"/>
                <w:color w:val="000000"/>
                <w:kern w:val="0"/>
                <w:sz w:val="24"/>
                <w:szCs w:val="21"/>
                <w:vertAlign w:val="baseline"/>
                <w:lang w:val="en-US" w:eastAsia="zh-CN" w:bidi="ar-SA"/>
              </w:rPr>
              <w:t>（数据准确的服务报告数量 / 服务报告总数量）×100%</w:t>
            </w:r>
          </w:p>
        </w:tc>
        <w:tc>
          <w:tcPr>
            <w:tcW w:w="1008"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default"/>
                <w:snapToGrid w:val="0"/>
                <w:color w:val="000000"/>
                <w:kern w:val="0"/>
                <w:sz w:val="24"/>
                <w:szCs w:val="21"/>
                <w:vertAlign w:val="baseline"/>
                <w:lang w:val="en-US" w:eastAsia="zh-CN" w:bidi="ar-SA"/>
              </w:rPr>
              <w:t>≥98%</w:t>
            </w:r>
          </w:p>
        </w:tc>
        <w:tc>
          <w:tcPr>
            <w:tcW w:w="1327"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240" w:lineRule="auto"/>
              <w:ind w:left="0" w:right="0" w:firstLine="0" w:leftChars="0" w:rightChars="0" w:firstLineChars="0"/>
              <w:jc w:val="center"/>
              <w:rPr>
                <w:rFonts w:ascii="Arial" w:eastAsia="宋体" w:hAnsi="Arial" w:cs="Arial" w:hint="default"/>
                <w:snapToGrid w:val="0"/>
                <w:color w:val="000000"/>
                <w:kern w:val="0"/>
                <w:sz w:val="24"/>
                <w:szCs w:val="21"/>
                <w:vertAlign w:val="baseline"/>
                <w:lang w:val="en-US" w:eastAsia="zh-CN" w:bidi="ar-SA"/>
              </w:rPr>
            </w:pPr>
            <w:r>
              <w:rPr>
                <w:rFonts w:cs="Arial" w:hint="eastAsia"/>
                <w:snapToGrid w:val="0"/>
                <w:color w:val="000000"/>
                <w:kern w:val="0"/>
                <w:sz w:val="24"/>
                <w:szCs w:val="21"/>
                <w:vertAlign w:val="baseline"/>
                <w:lang w:val="en-US" w:eastAsia="zh-CN" w:bidi="ar-SA"/>
              </w:rPr>
              <w:t>季度</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9" w:name="_Toc32759"/>
      <w:r>
        <w:rPr>
          <w:rFonts w:hint="default"/>
          <w:lang w:val="en-US" w:eastAsia="zh-CN"/>
        </w:rPr>
        <w:t>相关文件</w:t>
      </w:r>
      <w:bookmarkEnd w:id="49"/>
    </w:p>
    <w:p>
      <w:pPr>
        <w:pStyle w:val="a1"/>
        <w:numPr>
          <w:ilvl w:val="0"/>
          <w:numId w:val="9"/>
        </w:numPr>
        <w:ind w:left="425" w:hanging="425" w:leftChars="0" w:firstLineChars="0"/>
        <w:rPr>
          <w:rFonts w:hint="default"/>
          <w:lang w:val="en-US" w:eastAsia="zh-CN"/>
        </w:rPr>
      </w:pPr>
      <w:r>
        <w:rPr>
          <w:rFonts w:hint="default"/>
          <w:lang w:val="en-US" w:eastAsia="zh-CN"/>
        </w:rPr>
        <w:t>《服务级别管理制度》</w:t>
      </w:r>
      <w:r>
        <w:rPr>
          <w:rFonts w:hint="default"/>
          <w:lang w:val="en-US" w:eastAsia="zh-CN"/>
        </w:rPr>
        <w:tab/>
      </w:r>
      <w:r>
        <w:rPr>
          <w:rFonts w:hint="default"/>
          <w:lang w:val="en-US" w:eastAsia="zh-CN"/>
        </w:rPr>
        <w:t>SFKJ-ITSS-0602</w:t>
      </w:r>
    </w:p>
    <w:p>
      <w:pPr>
        <w:pStyle w:val="a1"/>
        <w:numPr>
          <w:ilvl w:val="0"/>
          <w:numId w:val="9"/>
        </w:numPr>
        <w:ind w:left="425" w:hanging="425" w:leftChars="0" w:firstLineChars="0"/>
        <w:rPr>
          <w:rFonts w:hint="default"/>
          <w:lang w:val="en-US" w:eastAsia="zh-CN"/>
        </w:rPr>
      </w:pPr>
      <w:r>
        <w:rPr>
          <w:rFonts w:hint="default"/>
          <w:lang w:val="en-US" w:eastAsia="zh-CN"/>
        </w:rPr>
        <w:t>《事件管理制度》</w:t>
      </w:r>
      <w:r>
        <w:rPr>
          <w:rFonts w:hint="default"/>
          <w:lang w:val="en-US" w:eastAsia="zh-CN"/>
        </w:rPr>
        <w:tab/>
      </w:r>
      <w:r>
        <w:rPr>
          <w:rFonts w:hint="default"/>
          <w:lang w:val="en-US" w:eastAsia="zh-CN"/>
        </w:rPr>
        <w:t>SFKJ-ITSS-0803</w:t>
      </w:r>
    </w:p>
    <w:p>
      <w:pPr>
        <w:pStyle w:val="a1"/>
        <w:numPr>
          <w:ilvl w:val="0"/>
          <w:numId w:val="9"/>
        </w:numPr>
        <w:ind w:left="425" w:hanging="425" w:leftChars="0" w:firstLineChars="0"/>
        <w:rPr>
          <w:rFonts w:hint="default"/>
          <w:lang w:val="en-US" w:eastAsia="zh-CN"/>
        </w:rPr>
      </w:pPr>
      <w:r>
        <w:rPr>
          <w:rFonts w:hint="default"/>
          <w:lang w:val="en-US" w:eastAsia="zh-CN"/>
        </w:rPr>
        <w:t>《问题管理制度》</w:t>
      </w:r>
      <w:r>
        <w:rPr>
          <w:rFonts w:hint="default"/>
          <w:lang w:val="en-US" w:eastAsia="zh-CN"/>
        </w:rPr>
        <w:tab/>
      </w:r>
      <w:r>
        <w:rPr>
          <w:rFonts w:hint="default"/>
          <w:lang w:val="en-US" w:eastAsia="zh-CN"/>
        </w:rPr>
        <w:t>SFKJ-ITSS-0804</w:t>
      </w:r>
    </w:p>
    <w:p>
      <w:pPr>
        <w:pStyle w:val="a1"/>
        <w:numPr>
          <w:ilvl w:val="0"/>
          <w:numId w:val="9"/>
        </w:numPr>
        <w:ind w:left="425" w:hanging="425" w:leftChars="0" w:firstLineChars="0"/>
        <w:rPr>
          <w:rFonts w:hint="default"/>
          <w:lang w:val="en-US" w:eastAsia="zh-CN"/>
        </w:rPr>
      </w:pPr>
      <w:r>
        <w:rPr>
          <w:rFonts w:hint="default"/>
          <w:lang w:val="en-US" w:eastAsia="zh-CN"/>
        </w:rPr>
        <w:t>《变更管理制度》</w:t>
      </w:r>
      <w:r>
        <w:rPr>
          <w:rFonts w:hint="default"/>
          <w:lang w:val="en-US" w:eastAsia="zh-CN"/>
        </w:rPr>
        <w:tab/>
      </w:r>
      <w:r>
        <w:rPr>
          <w:rFonts w:hint="default"/>
          <w:lang w:val="en-US" w:eastAsia="zh-CN"/>
        </w:rPr>
        <w:t>SFKJ-ITSS-0806</w:t>
      </w:r>
    </w:p>
    <w:p>
      <w:pPr>
        <w:pStyle w:val="a1"/>
        <w:numPr>
          <w:ilvl w:val="0"/>
          <w:numId w:val="9"/>
        </w:numPr>
        <w:ind w:left="425" w:hanging="425" w:leftChars="0" w:firstLineChars="0"/>
        <w:rPr>
          <w:rFonts w:hint="default"/>
          <w:lang w:val="en-US" w:eastAsia="zh-CN"/>
        </w:rPr>
      </w:pPr>
      <w:r>
        <w:rPr>
          <w:rFonts w:hint="default"/>
          <w:lang w:val="en-US" w:eastAsia="zh-CN"/>
        </w:rPr>
        <w:t>《满意度管理制度》</w:t>
      </w:r>
      <w:r>
        <w:rPr>
          <w:rFonts w:hint="default"/>
          <w:lang w:val="en-US" w:eastAsia="zh-CN"/>
        </w:rPr>
        <w:tab/>
      </w:r>
      <w:r>
        <w:rPr>
          <w:rFonts w:hint="default"/>
          <w:lang w:val="en-US" w:eastAsia="zh-CN"/>
        </w:rPr>
        <w:t>SFKJ-ITSS-0403</w:t>
      </w:r>
    </w:p>
    <w:p>
      <w:pPr>
        <w:pStyle w:val="a1"/>
        <w:numPr>
          <w:ilvl w:val="0"/>
          <w:numId w:val="9"/>
        </w:numPr>
        <w:ind w:left="425" w:hanging="425" w:leftChars="0" w:firstLineChars="0"/>
        <w:rPr>
          <w:rFonts w:hint="default"/>
          <w:lang w:val="en-US" w:eastAsia="zh-CN"/>
        </w:rPr>
      </w:pPr>
      <w:r>
        <w:rPr>
          <w:rFonts w:hint="default"/>
          <w:lang w:val="en-US" w:eastAsia="zh-CN"/>
        </w:rPr>
        <w:t>《能力改进管理制度》</w:t>
      </w:r>
      <w:r>
        <w:rPr>
          <w:rFonts w:hint="default"/>
          <w:lang w:val="en-US" w:eastAsia="zh-CN"/>
        </w:rPr>
        <w:tab/>
      </w:r>
      <w:r>
        <w:rPr>
          <w:rFonts w:hint="default"/>
          <w:lang w:val="en-US" w:eastAsia="zh-CN"/>
        </w:rPr>
        <w:t>SFKJ-ITSS-0302</w:t>
      </w:r>
    </w:p>
    <w:p>
      <w:pPr>
        <w:pStyle w:val="a1"/>
        <w:numPr>
          <w:ilvl w:val="0"/>
          <w:numId w:val="9"/>
        </w:numPr>
        <w:ind w:left="425" w:hanging="425" w:leftChars="0" w:firstLineChars="0"/>
        <w:rPr>
          <w:rFonts w:hint="default"/>
          <w:lang w:val="en-US" w:eastAsia="zh-CN"/>
        </w:rPr>
      </w:pPr>
      <w:r>
        <w:rPr>
          <w:rFonts w:hint="default"/>
          <w:lang w:val="en-US" w:eastAsia="zh-CN"/>
        </w:rPr>
        <w:t>《服务目录管理制度》</w:t>
      </w:r>
      <w:r>
        <w:rPr>
          <w:rFonts w:hint="default"/>
          <w:lang w:val="en-US" w:eastAsia="zh-CN"/>
        </w:rPr>
        <w:tab/>
      </w:r>
      <w:r>
        <w:rPr>
          <w:rFonts w:hint="default"/>
          <w:lang w:val="en-US" w:eastAsia="zh-CN"/>
        </w:rPr>
        <w:t>SFKJ-ITSS-0101</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0" w:name="_Toc21681"/>
      <w:r>
        <w:rPr>
          <w:rFonts w:hint="default"/>
          <w:lang w:val="en-US" w:eastAsia="zh-CN"/>
        </w:rPr>
        <w:t>相关记录</w:t>
      </w:r>
      <w:bookmarkEnd w:id="50"/>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1" w:name="_Toc16593"/>
      <w:r>
        <w:rPr>
          <w:rFonts w:hint="default"/>
          <w:lang w:val="en-US" w:eastAsia="zh-CN"/>
        </w:rPr>
        <w:t xml:space="preserve"> 相关记录表</w:t>
      </w:r>
      <w:bookmarkEnd w:id="51"/>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4029"/>
        <w:gridCol w:w="2233"/>
        <w:gridCol w:w="2233"/>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文件和记录</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责任部门</w:t>
            </w:r>
          </w:p>
        </w:tc>
        <w:tc>
          <w:tcPr>
            <w:tcW w:w="2233"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保存期限</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《日常运维报告》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223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2年</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《服务级别报告》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223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《季度服务报告》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223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《年度服务报告》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223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长期</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《重大事件报告》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223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5年</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《专项改进报告》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223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《服务报告评审记录》</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质量部</w:t>
            </w:r>
          </w:p>
        </w:tc>
        <w:tc>
          <w:tcPr>
            <w:tcW w:w="223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w:t>
            </w:r>
          </w:p>
        </w:tc>
      </w:tr>
      <w:tr>
        <w:tblPrEx>
          <w:tblW w:w="8495" w:type="dxa"/>
          <w:jc w:val="center"/>
          <w:shd w:val="clear" w:color="auto" w:fill="auto"/>
          <w:tblCellMar>
            <w:top w:w="15" w:type="dxa"/>
            <w:left w:w="15" w:type="dxa"/>
            <w:bottom w:w="15" w:type="dxa"/>
            <w:right w:w="15" w:type="dxa"/>
          </w:tblCellMar>
        </w:tblPrEx>
        <w:trPr>
          <w:trHeight w:val="0"/>
          <w:jc w:val="center"/>
        </w:trPr>
        <w:tc>
          <w:tcPr>
            <w:tcW w:w="4029"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《服务报告分发记录》</w:t>
            </w:r>
          </w:p>
        </w:tc>
        <w:tc>
          <w:tcPr>
            <w:tcW w:w="2233"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2233"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2年</w:t>
            </w:r>
          </w:p>
        </w:tc>
      </w:tr>
    </w:tbl>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End w:id="1"/>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43E0A21"/>
    <w:multiLevelType w:val="singleLevel"/>
    <w:tmpl w:val="843E0A21"/>
    <w:lvl w:ilvl="0">
      <w:start w:val="1"/>
      <w:numFmt w:val="decimal"/>
      <w:lvlText w:val="%1."/>
      <w:lvlJc w:val="left"/>
      <w:pPr>
        <w:ind w:left="425" w:hanging="425"/>
      </w:pPr>
      <w:rPr>
        <w:rFonts w:hint="default"/>
      </w:rPr>
    </w:lvl>
  </w:abstractNum>
  <w:abstractNum w:abstractNumId="1">
    <w:nsid w:val="866FA917"/>
    <w:multiLevelType w:val="singleLevel"/>
    <w:tmpl w:val="866FA917"/>
    <w:lvl w:ilvl="0">
      <w:start w:val="1"/>
      <w:numFmt w:val="decimal"/>
      <w:lvlText w:val="%1."/>
      <w:lvlJc w:val="left"/>
      <w:pPr>
        <w:ind w:left="425" w:hanging="425"/>
      </w:pPr>
      <w:rPr>
        <w:rFonts w:hint="default"/>
      </w:rPr>
    </w:lvl>
  </w:abstractNum>
  <w:abstractNum w:abstractNumId="2">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3">
    <w:nsid w:val="92A864A7"/>
    <w:multiLevelType w:val="singleLevel"/>
    <w:tmpl w:val="92A864A7"/>
    <w:lvl w:ilvl="0">
      <w:start w:val="1"/>
      <w:numFmt w:val="decimal"/>
      <w:lvlText w:val="%1."/>
      <w:lvlJc w:val="left"/>
      <w:pPr>
        <w:ind w:left="425" w:hanging="425"/>
      </w:pPr>
      <w:rPr>
        <w:rFonts w:hint="default"/>
      </w:rPr>
    </w:lvl>
  </w:abstractNum>
  <w:abstractNum w:abstractNumId="4">
    <w:nsid w:val="9E00BBE3"/>
    <w:multiLevelType w:val="singleLevel"/>
    <w:tmpl w:val="9E00BBE3"/>
    <w:lvl w:ilvl="0">
      <w:start w:val="1"/>
      <w:numFmt w:val="decimal"/>
      <w:lvlText w:val="%1."/>
      <w:lvlJc w:val="left"/>
      <w:pPr>
        <w:ind w:left="425" w:hanging="425"/>
      </w:pPr>
      <w:rPr>
        <w:rFonts w:hint="default"/>
      </w:rPr>
    </w:lvl>
  </w:abstractNum>
  <w:abstractNum w:abstractNumId="5">
    <w:nsid w:val="3262643D"/>
    <w:multiLevelType w:val="singleLevel"/>
    <w:tmpl w:val="3262643D"/>
    <w:lvl w:ilvl="0">
      <w:start w:val="1"/>
      <w:numFmt w:val="decimal"/>
      <w:lvlText w:val="%1."/>
      <w:lvlJc w:val="left"/>
      <w:pPr>
        <w:ind w:left="425" w:hanging="425"/>
      </w:pPr>
      <w:rPr>
        <w:rFonts w:hint="default"/>
      </w:rPr>
    </w:lvl>
  </w:abstractNum>
  <w:abstractNum w:abstractNumId="6">
    <w:nsid w:val="32F2AD63"/>
    <w:multiLevelType w:val="singleLevel"/>
    <w:tmpl w:val="32F2AD63"/>
    <w:lvl w:ilvl="0">
      <w:start w:val="1"/>
      <w:numFmt w:val="decimal"/>
      <w:lvlText w:val="%1."/>
      <w:lvlJc w:val="left"/>
      <w:pPr>
        <w:ind w:left="425" w:hanging="425"/>
      </w:pPr>
      <w:rPr>
        <w:rFonts w:hint="default"/>
      </w:rPr>
    </w:lvl>
  </w:abstractNum>
  <w:abstractNum w:abstractNumId="7">
    <w:nsid w:val="408E3A45"/>
    <w:multiLevelType w:val="singleLevel"/>
    <w:tmpl w:val="408E3A45"/>
    <w:lvl w:ilvl="0">
      <w:start w:val="1"/>
      <w:numFmt w:val="decimal"/>
      <w:lvlText w:val="%1."/>
      <w:lvlJc w:val="left"/>
      <w:pPr>
        <w:ind w:left="425" w:hanging="425"/>
      </w:pPr>
      <w:rPr>
        <w:rFonts w:hint="default"/>
      </w:rPr>
    </w:lvl>
  </w:abstractNum>
  <w:abstractNum w:abstractNumId="8">
    <w:nsid w:val="613E34C7"/>
    <w:multiLevelType w:val="singleLevel"/>
    <w:tmpl w:val="613E34C7"/>
    <w:lvl w:ilvl="0">
      <w:start w:val="1"/>
      <w:numFmt w:val="decimal"/>
      <w:lvlText w:val="%1."/>
      <w:lvlJc w:val="left"/>
      <w:pPr>
        <w:ind w:left="425" w:hanging="425"/>
      </w:pPr>
      <w:rPr>
        <w:rFonts w:hint="default"/>
      </w:rPr>
    </w:lvl>
  </w:abstractNum>
  <w:num w:numId="1">
    <w:abstractNumId w:val="2"/>
  </w:num>
  <w:num w:numId="2">
    <w:abstractNumId w:val="7"/>
  </w:num>
  <w:num w:numId="3">
    <w:abstractNumId w:val="5"/>
  </w:num>
  <w:num w:numId="4">
    <w:abstractNumId w:val="8"/>
  </w:num>
  <w:num w:numId="5">
    <w:abstractNumId w:val="4"/>
  </w:num>
  <w:num w:numId="6">
    <w:abstractNumId w:val="0"/>
  </w:num>
  <w:num w:numId="7">
    <w:abstractNumId w:val="6"/>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hint="eastAsia"/>
      <w:kern w:val="0"/>
      <w:sz w:val="24"/>
      <w:szCs w:val="24"/>
      <w:lang w:val="en-US" w:eastAsia="zh-CN"/>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link w:val="2Char"/>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3"/>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4"/>
    <w:qFormat/>
  </w:style>
  <w:style w:type="paragraph" w:customStyle="1" w:styleId="a4">
    <w:name w:val="柴_题注"/>
    <w:basedOn w:val="HTMLPreformatted"/>
    <w:link w:val="Char1"/>
    <w:qFormat/>
    <w:pPr>
      <w:pBdr>
        <w:top w:val="nil"/>
        <w:left w:val="nil"/>
        <w:bottom w:val="nil"/>
        <w:right w:val="nil"/>
      </w:pBdr>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emf" /><Relationship Id="rId5" Type="http://schemas.openxmlformats.org/officeDocument/2006/relationships/oleObject" Target="embeddings/oleObject1.bin"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16</Pages>
  <Words>1326</Words>
  <Characters>1557</Characters>
  <Application>Microsoft Office Word</Application>
  <DocSecurity>0</DocSecurity>
  <Lines>0</Lines>
  <Paragraphs>0</Paragraphs>
  <ScaleCrop>false</ScaleCrop>
  <Company/>
  <LinksUpToDate>false</LinksUpToDate>
  <CharactersWithSpaces>1775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2026-04-07T21:44:38Z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