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2026年信息安全管理报告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_Toc17981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报告概述</w:t>
          </w:r>
          <w:r>
            <w:tab/>
          </w:r>
          <w:r>
            <w:fldChar w:fldCharType="begin"/>
          </w:r>
          <w:r>
            <w:instrText xml:space="preserve"> PAGEREF _Toc17981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_Toc8334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1.1. 报告基本信息</w:t>
          </w:r>
          <w:r>
            <w:tab/>
          </w:r>
          <w:r>
            <w:fldChar w:fldCharType="begin"/>
          </w:r>
          <w:r>
            <w:instrText xml:space="preserve"> PAGEREF _Toc8334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_Toc30860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1.2. 报告目的</w:t>
          </w:r>
          <w:r>
            <w:tab/>
          </w:r>
          <w:r>
            <w:fldChar w:fldCharType="begin"/>
          </w:r>
          <w:r>
            <w:instrText xml:space="preserve"> PAGEREF _Toc30860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_Toc20978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信息安全目标达成情况</w:t>
          </w:r>
          <w:r>
            <w:tab/>
          </w:r>
          <w:r>
            <w:fldChar w:fldCharType="begin"/>
          </w:r>
          <w:r>
            <w:instrText xml:space="preserve"> PAGEREF _Toc20978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_Toc7951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信息安全管理组织运行情况</w:t>
          </w:r>
          <w:r>
            <w:tab/>
          </w:r>
          <w:r>
            <w:fldChar w:fldCharType="begin"/>
          </w:r>
          <w:r>
            <w:instrText xml:space="preserve"> PAGEREF _Toc7951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信息资产安全管理情况</w:t>
          </w:r>
          <w:r>
            <w:tab/>
          </w:r>
          <w:r>
            <w:fldChar w:fldCharType="begin"/>
          </w:r>
          <w:r>
            <w:instrText xml:space="preserve"> PAGEREF _Toc29566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_Toc11216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资产识别与维护</w:t>
          </w:r>
          <w:r>
            <w:tab/>
          </w:r>
          <w:r>
            <w:fldChar w:fldCharType="begin"/>
          </w:r>
          <w:r>
            <w:instrText xml:space="preserve"> PAGEREF _Toc11216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资产分级保护</w:t>
          </w:r>
          <w:r>
            <w:tab/>
          </w:r>
          <w:r>
            <w:fldChar w:fldCharType="begin"/>
          </w:r>
          <w:r>
            <w:instrText xml:space="preserve"> PAGEREF _Toc26409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_Toc14490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信息安全风险评估与处置情况</w:t>
          </w:r>
          <w:r>
            <w:tab/>
          </w:r>
          <w:r>
            <w:fldChar w:fldCharType="begin"/>
          </w:r>
          <w:r>
            <w:instrText xml:space="preserve"> PAGEREF _Toc14490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_Toc26756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风险识别与评估</w:t>
          </w:r>
          <w:r>
            <w:tab/>
          </w:r>
          <w:r>
            <w:fldChar w:fldCharType="begin"/>
          </w:r>
          <w:r>
            <w:instrText xml:space="preserve"> PAGEREF _Toc26756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_Toc8196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风险处置情况</w:t>
          </w:r>
          <w:r>
            <w:tab/>
          </w:r>
          <w:r>
            <w:fldChar w:fldCharType="begin"/>
          </w:r>
          <w:r>
            <w:instrText xml:space="preserve"> PAGEREF _Toc8196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_Toc18434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信息安全管控措施执行情况</w:t>
          </w:r>
          <w:r>
            <w:tab/>
          </w:r>
          <w:r>
            <w:fldChar w:fldCharType="begin"/>
          </w:r>
          <w:r>
            <w:instrText xml:space="preserve"> PAGEREF _Toc18434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_Toc14333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访问控制管理</w:t>
          </w:r>
          <w:r>
            <w:tab/>
          </w:r>
          <w:r>
            <w:fldChar w:fldCharType="begin"/>
          </w:r>
          <w:r>
            <w:instrText xml:space="preserve"> PAGEREF _Toc14333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_Toc30171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数据安全管理</w:t>
          </w:r>
          <w:r>
            <w:tab/>
          </w:r>
          <w:r>
            <w:fldChar w:fldCharType="begin"/>
          </w:r>
          <w:r>
            <w:instrText xml:space="preserve"> PAGEREF _Toc30171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网络安全防护</w:t>
          </w:r>
          <w:r>
            <w:tab/>
          </w:r>
          <w:r>
            <w:fldChar w:fldCharType="begin"/>
          </w:r>
          <w:r>
            <w:instrText xml:space="preserve"> PAGEREF _Toc451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系统安全加固</w:t>
          </w:r>
          <w:r>
            <w:tab/>
          </w:r>
          <w:r>
            <w:fldChar w:fldCharType="begin"/>
          </w:r>
          <w:r>
            <w:instrText xml:space="preserve"> PAGEREF _Toc179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物理安全防护</w:t>
          </w:r>
          <w:r>
            <w:tab/>
          </w:r>
          <w:r>
            <w:fldChar w:fldCharType="begin"/>
          </w:r>
          <w:r>
            <w:instrText xml:space="preserve"> PAGEREF _Toc605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_Toc3742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人员安全管理</w:t>
          </w:r>
          <w:r>
            <w:tab/>
          </w:r>
          <w:r>
            <w:fldChar w:fldCharType="begin"/>
          </w:r>
          <w:r>
            <w:instrText xml:space="preserve"> PAGEREF _Toc3742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_Toc20496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信息安全事件管理情况</w:t>
          </w:r>
          <w:r>
            <w:tab/>
          </w:r>
          <w:r>
            <w:fldChar w:fldCharType="begin"/>
          </w:r>
          <w:r>
            <w:instrText xml:space="preserve"> PAGEREF _Toc20496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_Toc19270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安全事件统计</w:t>
          </w:r>
          <w:r>
            <w:tab/>
          </w:r>
          <w:r>
            <w:fldChar w:fldCharType="begin"/>
          </w:r>
          <w:r>
            <w:instrText xml:space="preserve"> PAGEREF _Toc19270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三级事件详情</w:t>
          </w:r>
          <w:r>
            <w:tab/>
          </w:r>
          <w:r>
            <w:fldChar w:fldCharType="begin"/>
          </w:r>
          <w:r>
            <w:instrText xml:space="preserve"> PAGEREF _Toc1137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_Toc23609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事件响应时效</w:t>
          </w:r>
          <w:r>
            <w:tab/>
          </w:r>
          <w:r>
            <w:fldChar w:fldCharType="begin"/>
          </w:r>
          <w:r>
            <w:instrText xml:space="preserve"> PAGEREF _Toc23609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_Toc32760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信息安全培训与意识提升情况</w:t>
          </w:r>
          <w:r>
            <w:tab/>
          </w:r>
          <w:r>
            <w:fldChar w:fldCharType="begin"/>
          </w:r>
          <w:r>
            <w:instrText xml:space="preserve"> PAGEREF _Toc32760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培训开展情况</w:t>
          </w:r>
          <w:r>
            <w:tab/>
          </w:r>
          <w:r>
            <w:fldChar w:fldCharType="begin"/>
          </w:r>
          <w:r>
            <w:instrText xml:space="preserve"> PAGEREF _Toc13479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_Toc4932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培训效果评估</w:t>
          </w:r>
          <w:r>
            <w:tab/>
          </w:r>
          <w:r>
            <w:fldChar w:fldCharType="begin"/>
          </w:r>
          <w:r>
            <w:instrText xml:space="preserve"> PAGEREF _Toc4932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信息安全检查与审计情况</w:t>
          </w:r>
          <w:r>
            <w:tab/>
          </w:r>
          <w:r>
            <w:fldChar w:fldCharType="begin"/>
          </w:r>
          <w:r>
            <w:instrText xml:space="preserve"> PAGEREF _Toc11294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检查执行情况</w:t>
          </w:r>
          <w:r>
            <w:tab/>
          </w:r>
          <w:r>
            <w:fldChar w:fldCharType="begin"/>
          </w:r>
          <w:r>
            <w:instrText xml:space="preserve"> PAGEREF _Toc883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_Toc6140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发现的主要问题及整改情况</w:t>
          </w:r>
          <w:r>
            <w:tab/>
          </w:r>
          <w:r>
            <w:fldChar w:fldCharType="begin"/>
          </w:r>
          <w:r>
            <w:instrText xml:space="preserve"> PAGEREF _Toc6140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_Toc18998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存在的问题与改进措施</w:t>
          </w:r>
          <w:r>
            <w:tab/>
          </w:r>
          <w:r>
            <w:fldChar w:fldCharType="begin"/>
          </w:r>
          <w:r>
            <w:instrText xml:space="preserve"> PAGEREF _Toc18998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_Toc26041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10.1. </w:t>
          </w:r>
          <w:r>
            <w:rPr>
              <w:rFonts w:hint="eastAsia"/>
              <w:lang w:val="en-US" w:eastAsia="zh-CN"/>
            </w:rPr>
            <w:t>主</w:t>
          </w:r>
          <w:r>
            <w:rPr>
              <w:rFonts w:hint="default"/>
              <w:lang w:val="en-US" w:eastAsia="zh-CN"/>
            </w:rPr>
            <w:t>要问题</w:t>
          </w:r>
          <w:r>
            <w:tab/>
          </w:r>
          <w:r>
            <w:fldChar w:fldCharType="begin"/>
          </w:r>
          <w:r>
            <w:instrText xml:space="preserve"> PAGEREF _Toc26041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改进措施</w:t>
          </w:r>
          <w:r>
            <w:tab/>
          </w:r>
          <w:r>
            <w:fldChar w:fldCharType="begin"/>
          </w:r>
          <w:r>
            <w:instrText xml:space="preserve"> PAGEREF _Toc14220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_Toc25652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下年度工作计划</w:t>
          </w:r>
          <w:r>
            <w:tab/>
          </w:r>
          <w:r>
            <w:fldChar w:fldCharType="begin"/>
          </w:r>
          <w:r>
            <w:instrText xml:space="preserve"> PAGEREF _Toc25652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重点工作</w:t>
          </w:r>
          <w:r>
            <w:tab/>
          </w:r>
          <w:r>
            <w:fldChar w:fldCharType="begin"/>
          </w:r>
          <w:r>
            <w:instrText xml:space="preserve"> PAGEREF _Toc2628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_Toc7333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下年度目标</w:t>
          </w:r>
          <w:r>
            <w:tab/>
          </w:r>
          <w:r>
            <w:fldChar w:fldCharType="begin"/>
          </w:r>
          <w:r>
            <w:instrText xml:space="preserve"> PAGEREF _Toc7333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_Toc32193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结论</w:t>
          </w:r>
          <w:r>
            <w:tab/>
          </w:r>
          <w:r>
            <w:fldChar w:fldCharType="begin"/>
          </w:r>
          <w:r>
            <w:instrText xml:space="preserve"> PAGEREF _Toc32193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_Toc860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信息安全目标达成表</w:t>
      </w:r>
      <w:r>
        <w:tab/>
      </w:r>
      <w:r>
        <w:fldChar w:fldCharType="begin"/>
      </w:r>
      <w:r>
        <w:instrText xml:space="preserve"> PAGEREF _Toc860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_Toc32666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各角色职责履行情况表</w:t>
      </w:r>
      <w:r>
        <w:tab/>
      </w:r>
      <w:r>
        <w:fldChar w:fldCharType="begin"/>
      </w:r>
      <w:r>
        <w:instrText xml:space="preserve"> PAGEREF _Toc32666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_Toc15524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处置措施表</w:t>
      </w:r>
      <w:r>
        <w:tab/>
      </w:r>
      <w:r>
        <w:fldChar w:fldCharType="begin"/>
      </w:r>
      <w:r>
        <w:instrText xml:space="preserve"> PAGEREF _Toc15524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_Toc9230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安全事件统计表</w:t>
      </w:r>
      <w:r>
        <w:tab/>
      </w:r>
      <w:r>
        <w:fldChar w:fldCharType="begin"/>
      </w:r>
      <w:r>
        <w:instrText xml:space="preserve"> PAGEREF _Toc9230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_Toc27153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事件处理详情表</w:t>
      </w:r>
      <w:r>
        <w:tab/>
      </w:r>
      <w:r>
        <w:fldChar w:fldCharType="begin"/>
      </w:r>
      <w:r>
        <w:instrText xml:space="preserve"> PAGEREF _Toc27153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_Toc29247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安全培训统计表</w:t>
      </w:r>
      <w:r>
        <w:tab/>
      </w:r>
      <w:r>
        <w:fldChar w:fldCharType="begin"/>
      </w:r>
      <w:r>
        <w:instrText xml:space="preserve"> PAGEREF _Toc29247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_Toc22250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安全检查统计表</w:t>
      </w:r>
      <w:r>
        <w:tab/>
      </w:r>
      <w:r>
        <w:fldChar w:fldCharType="begin"/>
      </w:r>
      <w:r>
        <w:instrText xml:space="preserve"> PAGEREF _Toc22250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_Toc4291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问题整改情况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_Toc4291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_Toc26749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改进措施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_Toc26749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_Toc27254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2026年信息安全目标表</w:t>
      </w:r>
      <w:r>
        <w:tab/>
      </w:r>
      <w:r>
        <w:fldChar w:fldCharType="begin"/>
      </w:r>
      <w:r>
        <w:instrText xml:space="preserve"> PAGEREF _Toc27254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17981"/>
      <w:r>
        <w:rPr>
          <w:rFonts w:hint="default"/>
          <w:lang w:val="en-US" w:eastAsia="zh-CN"/>
        </w:rPr>
        <w:t>报告概述</w:t>
      </w:r>
      <w:bookmarkEnd w:id="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8334"/>
      <w:r>
        <w:rPr>
          <w:rFonts w:hint="default"/>
          <w:lang w:val="en-US" w:eastAsia="zh-CN"/>
        </w:rPr>
        <w:t>报告基本信息</w:t>
      </w:r>
      <w:bookmarkEnd w:id="2"/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项目名称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2026年国电电力湖南新能源系统运维项目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报告周期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2026年1月1日 - 2026年12月31日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报告类型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年度信息安全管理报告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报告责任人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运维项目经理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报告审核人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运维部经理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0860"/>
      <w:r>
        <w:rPr>
          <w:rFonts w:hint="default"/>
          <w:lang w:val="en-US" w:eastAsia="zh-CN"/>
        </w:rPr>
        <w:t>报告目的</w:t>
      </w:r>
      <w:bookmarkEnd w:id="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总结《2026年国电电力湖南新能源系统运维项目》项目在2026年度内的信息安全管理情况，评估信息安全目标达成情况，分析安全风险管控成效，总结安全事件处理经验，为下一年度信息安全管理工作提供改进依据，确保项目信息安全持续满足客户需求和法律法规要求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0978"/>
      <w:r>
        <w:rPr>
          <w:rFonts w:hint="default"/>
          <w:lang w:val="en-US" w:eastAsia="zh-CN"/>
        </w:rPr>
        <w:t>信息安全目标达成情况</w:t>
      </w:r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86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信息安全目标达成表</w:t>
      </w:r>
      <w:bookmarkEnd w:id="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1"/>
        <w:gridCol w:w="1125"/>
        <w:gridCol w:w="1698"/>
        <w:gridCol w:w="1275"/>
        <w:gridCol w:w="26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8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目标类型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目标值</w:t>
            </w:r>
          </w:p>
        </w:tc>
        <w:tc>
          <w:tcPr>
            <w:tcW w:w="16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年度实际达成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是否达标</w:t>
            </w:r>
          </w:p>
        </w:tc>
        <w:tc>
          <w:tcPr>
            <w:tcW w:w="26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信息安全事件数量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0次/年</w:t>
            </w:r>
          </w:p>
        </w:tc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全年未发生信息安全事件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数据备份成功率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全年365次备份全部成功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访问控制合规率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所有权限变更均按流程执行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安全漏洞修复率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≥95%</w:t>
            </w:r>
          </w:p>
        </w:tc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98.5%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发现漏洞67个，修复66个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安全培训覆盖率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全员完成年度安全培训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7951"/>
      <w:r>
        <w:rPr>
          <w:rFonts w:hint="default"/>
          <w:lang w:val="en-US" w:eastAsia="zh-CN"/>
        </w:rPr>
        <w:t>信息安全管理组织运行情况</w:t>
      </w:r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本年度信息安全组织按计划有效运行，各角色职责履行情况良好</w:t>
      </w:r>
      <w:r>
        <w:rPr>
          <w:rFonts w:hint="eastAsia"/>
          <w:lang w:val="en-US" w:eastAsia="zh-CN"/>
        </w:rPr>
        <w:t>.运行情况如表3-1所示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32666"/>
      <w:r>
        <w:rPr>
          <w:rFonts w:hint="eastAsia"/>
          <w:lang w:val="en-US" w:eastAsia="zh-CN"/>
        </w:rPr>
        <w:t xml:space="preserve"> 各角色职责履行情况表</w:t>
      </w:r>
      <w:bookmarkEnd w:id="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3"/>
        <w:gridCol w:w="1538"/>
        <w:gridCol w:w="53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4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角色</w:t>
            </w:r>
          </w:p>
        </w:tc>
        <w:tc>
          <w:tcPr>
            <w:tcW w:w="15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运行情况</w:t>
            </w:r>
          </w:p>
        </w:tc>
        <w:tc>
          <w:tcPr>
            <w:tcW w:w="53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主要工作成果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有效运行</w:t>
            </w:r>
          </w:p>
        </w:tc>
        <w:tc>
          <w:tcPr>
            <w:tcW w:w="5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审批安全策略4项，监督安全措施执行，主持季度安全会议4次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运维项目经理</w:t>
            </w:r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有效运行</w:t>
            </w:r>
          </w:p>
        </w:tc>
        <w:tc>
          <w:tcPr>
            <w:tcW w:w="5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组织风险评估2次，协调安全事件0次，编制安全报告4份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有效运行</w:t>
            </w:r>
          </w:p>
        </w:tc>
        <w:tc>
          <w:tcPr>
            <w:tcW w:w="5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执行系统安全配置，修复漏洞66个，每日备份验证完成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有效运行</w:t>
            </w:r>
          </w:p>
        </w:tc>
        <w:tc>
          <w:tcPr>
            <w:tcW w:w="5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配置防火墙策略，每日网络巡检，入侵检测告警分析28次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质量部专员</w:t>
            </w:r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有效运行</w:t>
            </w:r>
          </w:p>
        </w:tc>
        <w:tc>
          <w:tcPr>
            <w:tcW w:w="53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完成季度安全审计4次，提出改进建议6项，全部落实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9566"/>
      <w:r>
        <w:rPr>
          <w:rFonts w:hint="default"/>
          <w:lang w:val="en-US" w:eastAsia="zh-CN"/>
        </w:rPr>
        <w:t>信息资产安全管理情况</w:t>
      </w:r>
      <w:bookmarkEnd w:id="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1216"/>
      <w:r>
        <w:rPr>
          <w:rFonts w:hint="default"/>
          <w:lang w:val="en-US" w:eastAsia="zh-CN"/>
        </w:rPr>
        <w:t>资产识别与维护</w:t>
      </w:r>
      <w:bookmarkEnd w:id="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本年度对项目信息资产进行了全面梳理和维护，主要资产包括：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软件资产：新能源系统、MySQL数据库、监控系统，版本均保持最新稳定版本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硬件资产：应用服务器2台、数据库服务器2台、网络设备6台、现场设备15台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数据资产：业务数据约500GB，配置数据归档完整，日志数据保留90天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文档资产：技术文档、操作手册、安全策略等共计35份，已统一归档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6409"/>
      <w:r>
        <w:rPr>
          <w:rFonts w:hint="default"/>
          <w:lang w:val="en-US" w:eastAsia="zh-CN"/>
        </w:rPr>
        <w:t>资产分级保护</w:t>
      </w:r>
      <w:bookmarkEnd w:id="1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资产（客户业务数据、数据库、核心配置）已实施存储加密和传输加密，访问权限严格控制在授权人员范围内。中等级资产已实施传输加密和标准访问控制。低等级资产采取基础安全保护措施。全年未发生资产泄露或损坏事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490"/>
      <w:r>
        <w:rPr>
          <w:rFonts w:hint="default"/>
          <w:lang w:val="en-US" w:eastAsia="zh-CN"/>
        </w:rPr>
        <w:t>信息安全风险评估与处置情况</w:t>
      </w:r>
      <w:bookmarkEnd w:id="1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6756"/>
      <w:r>
        <w:rPr>
          <w:rFonts w:hint="default"/>
          <w:lang w:val="en-US" w:eastAsia="zh-CN"/>
        </w:rPr>
        <w:t>风险识别与评估</w:t>
      </w:r>
      <w:bookmarkEnd w:id="1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本年度组织两次全面风险评估，识别主要安全风险如下：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技术风险：系统漏洞、数据库攻击、网络入侵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数据风险：数据泄露、数据丢失、备份失效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人员风险：权限滥用、操作失误、离职泄密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环境风险：机房未授权进入、设备被盗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8196"/>
      <w:r>
        <w:rPr>
          <w:rFonts w:hint="default"/>
          <w:lang w:val="en-US" w:eastAsia="zh-CN"/>
        </w:rPr>
        <w:t>风险处置情况</w:t>
      </w:r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针对识别的高风险项，采取以下处置措施</w:t>
      </w:r>
      <w:r>
        <w:rPr>
          <w:rFonts w:hint="eastAsia"/>
          <w:lang w:val="en-US" w:eastAsia="zh-CN"/>
        </w:rPr>
        <w:t>，处置措施如表5-1所示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4" w:name="_Toc15524"/>
      <w:r>
        <w:rPr>
          <w:rFonts w:hint="eastAsia"/>
          <w:lang w:val="en-US" w:eastAsia="zh-CN"/>
        </w:rPr>
        <w:t xml:space="preserve"> 处置措施表</w:t>
      </w:r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4"/>
        <w:gridCol w:w="4785"/>
        <w:gridCol w:w="23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7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风险描述</w:t>
            </w:r>
          </w:p>
        </w:tc>
        <w:tc>
          <w:tcPr>
            <w:tcW w:w="47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处置措施</w:t>
            </w:r>
          </w:p>
        </w:tc>
        <w:tc>
          <w:tcPr>
            <w:tcW w:w="23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处置结果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系统漏洞</w:t>
            </w:r>
          </w:p>
        </w:tc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每月漏洞扫描，高危补丁7天内安装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全年修复率98.5%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数据丢失</w:t>
            </w:r>
          </w:p>
        </w:tc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每日备份，异地存储，每周验证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备份成功率100%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网络入侵</w:t>
            </w:r>
          </w:p>
        </w:tc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防火墙策略，入侵检测，VPN接入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全年无入侵事件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权限滥用</w:t>
            </w:r>
          </w:p>
        </w:tc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最小权限原则，季度审计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权限合规率100%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8434"/>
      <w:r>
        <w:rPr>
          <w:rFonts w:hint="default"/>
          <w:lang w:val="en-US" w:eastAsia="zh-CN"/>
        </w:rPr>
        <w:t>信息安全管控措施执行情况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4333"/>
      <w:r>
        <w:rPr>
          <w:rFonts w:hint="default"/>
          <w:lang w:val="en-US" w:eastAsia="zh-CN"/>
        </w:rPr>
        <w:t>访问控制管理</w:t>
      </w:r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本年度严格执行访问控制管理要求：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账户管理：全年新开账户8个，回收账户5个，均经审批流程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密码管理：每90天强制更换密码，密码强度符合要求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权限审计：每季度进行账户权限审计，未发现权限滥用情况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特权账户：特权账户仅授权2人使用，所有操作均有日志记录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0171"/>
      <w:r>
        <w:rPr>
          <w:rFonts w:hint="default"/>
          <w:lang w:val="en-US" w:eastAsia="zh-CN"/>
        </w:rPr>
        <w:t>数据安全管理</w:t>
      </w:r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数据安全措施执行情况良好：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数据备份：全年365次数据库备份全部成功，备份成功率100%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备份验证：每周验证备份可用性，全年52次验证全部通过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数据恢复：每季度组织数据恢复演练，4次演练全部成功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数据加密：高密级数据存储加密，传输使用HTTPS/SSH协议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451"/>
      <w:r>
        <w:rPr>
          <w:rFonts w:hint="default"/>
          <w:lang w:val="en-US" w:eastAsia="zh-CN"/>
        </w:rPr>
        <w:t>网络安全防护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网络安全防护措施持续运行：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网络隔离：生产环境与办公环境保持隔离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防火墙策略：按最小开放原则配置，每季度审查一次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VPN接入：远程运维通过VPN接入，启用多因素认证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入侵检测：全年产生告警28次，均为误报或正常扫描，无真实入侵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79"/>
      <w:r>
        <w:rPr>
          <w:rFonts w:hint="default"/>
          <w:lang w:val="en-US" w:eastAsia="zh-CN"/>
        </w:rPr>
        <w:t>系统安全加固</w:t>
      </w:r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系统安全措施落实到位：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补丁管理：每月检查系统补丁，高危补丁7天内安装，全年安装补丁45个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防病毒：服务器防病毒软件每日更新，全年未发现病毒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日志审计：系统日志保留90天，每月审计异常访问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账号管理：禁用默认账户，删除测试账户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605"/>
      <w:r>
        <w:rPr>
          <w:rFonts w:hint="default"/>
          <w:lang w:val="en-US" w:eastAsia="zh-CN"/>
        </w:rPr>
        <w:t>物理安全防护</w:t>
      </w:r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物理安全措施有效执行：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机房出入：全年机房出入登记32次，非授权人员均有人陪同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设备防护：服务器上锁固定，现场设备安装位置安全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环境监控：机房温湿度正常，UPS电源测试通过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设备处置：本年度无设备报废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3742"/>
      <w:r>
        <w:rPr>
          <w:rFonts w:hint="default"/>
          <w:lang w:val="en-US" w:eastAsia="zh-CN"/>
        </w:rPr>
        <w:t>人员安全管理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人员安全管理覆盖员工全生命周期：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入职管理：2名新员工入职，均签订保密协议，完成安全培训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在职管理：全员参加年度安全培训，岗位安全职责明确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离职管理：1名员工离职，权限及时回收，签署离职保密承诺书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第三方管理：无第三方人员参与项目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0496"/>
      <w:r>
        <w:rPr>
          <w:rFonts w:hint="default"/>
          <w:lang w:val="en-US" w:eastAsia="zh-CN"/>
        </w:rPr>
        <w:t>信息安全事件管理情况</w:t>
      </w:r>
      <w:bookmarkEnd w:id="2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9270"/>
      <w:r>
        <w:rPr>
          <w:rFonts w:hint="default"/>
          <w:lang w:val="en-US" w:eastAsia="zh-CN"/>
        </w:rPr>
        <w:t>安全事件统计</w:t>
      </w:r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923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安全事件统计表</w:t>
      </w:r>
      <w:bookmarkEnd w:id="2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1"/>
        <w:gridCol w:w="3997"/>
        <w:gridCol w:w="1437"/>
        <w:gridCol w:w="143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事件等级</w:t>
            </w:r>
          </w:p>
        </w:tc>
        <w:tc>
          <w:tcPr>
            <w:tcW w:w="3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143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发生次数</w:t>
            </w:r>
          </w:p>
        </w:tc>
        <w:tc>
          <w:tcPr>
            <w:tcW w:w="143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一级（重大）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数据泄露、系统被入侵、服务中断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无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二级（严重）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权限滥用、病毒爆发、数据损坏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无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三级（一般）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异常访问、配置错误、告警触发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均已处理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137"/>
      <w:r>
        <w:rPr>
          <w:rFonts w:hint="default"/>
          <w:lang w:val="en-US" w:eastAsia="zh-CN"/>
        </w:rPr>
        <w:t>三级事件详情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本年度发生三级安全事件3次，均为告警触发类事件，已全部处理：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27153"/>
      <w:r>
        <w:rPr>
          <w:rFonts w:hint="eastAsia"/>
          <w:lang w:val="en-US" w:eastAsia="zh-CN"/>
        </w:rPr>
        <w:t xml:space="preserve"> 事件处理详情表</w:t>
      </w:r>
      <w:bookmarkEnd w:id="2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7"/>
        <w:gridCol w:w="2734"/>
        <w:gridCol w:w="2980"/>
        <w:gridCol w:w="151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9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事件日期</w:t>
            </w:r>
          </w:p>
        </w:tc>
        <w:tc>
          <w:tcPr>
            <w:tcW w:w="27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事件描述</w:t>
            </w:r>
          </w:p>
        </w:tc>
        <w:tc>
          <w:tcPr>
            <w:tcW w:w="29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处理措施</w:t>
            </w:r>
          </w:p>
        </w:tc>
        <w:tc>
          <w:tcPr>
            <w:tcW w:w="151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处理结果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2026.3.12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异常IP访问尝试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封禁IP，分析日志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已关闭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2026.6.8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数据库连接数超阈值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扩容连接池，优化查询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已解决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2026.9.25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系统登录失败过多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检查账户，重置密码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已解决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3609"/>
      <w:r>
        <w:rPr>
          <w:rFonts w:hint="default"/>
          <w:lang w:val="en-US" w:eastAsia="zh-CN"/>
        </w:rPr>
        <w:t>事件响应时效</w:t>
      </w:r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所有安全事件均在规定时间内响应和处理，一级事件0起，二级事件0起，三级事件平均响应时间15分钟，平均处理时间30分钟。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32760"/>
      <w:r>
        <w:rPr>
          <w:rFonts w:hint="default"/>
          <w:lang w:val="en-US" w:eastAsia="zh-CN"/>
        </w:rPr>
        <w:t>信息安全培训与意识提升情况</w:t>
      </w:r>
      <w:bookmarkEnd w:id="2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13479"/>
      <w:r>
        <w:rPr>
          <w:rFonts w:hint="default"/>
          <w:lang w:val="en-US" w:eastAsia="zh-CN"/>
        </w:rPr>
        <w:t>培训开展情况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924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安全培训统计表</w:t>
      </w:r>
      <w:bookmarkEnd w:id="3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6"/>
        <w:gridCol w:w="1423"/>
        <w:gridCol w:w="1423"/>
        <w:gridCol w:w="1423"/>
        <w:gridCol w:w="1423"/>
        <w:gridCol w:w="119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3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培训内容</w:t>
            </w:r>
          </w:p>
        </w:tc>
        <w:tc>
          <w:tcPr>
            <w:tcW w:w="14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培训对象</w:t>
            </w:r>
          </w:p>
        </w:tc>
        <w:tc>
          <w:tcPr>
            <w:tcW w:w="14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培训方式</w:t>
            </w:r>
          </w:p>
        </w:tc>
        <w:tc>
          <w:tcPr>
            <w:tcW w:w="14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培训时间</w:t>
            </w:r>
          </w:p>
        </w:tc>
        <w:tc>
          <w:tcPr>
            <w:tcW w:w="14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参训人数</w:t>
            </w:r>
          </w:p>
        </w:tc>
        <w:tc>
          <w:tcPr>
            <w:tcW w:w="1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覆盖率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信息安全政策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新员工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入职培训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入职时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2人</w:t>
            </w:r>
          </w:p>
        </w:tc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安全操作规范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运维人员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内训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2026.4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5人</w:t>
            </w:r>
          </w:p>
        </w:tc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数据安全保护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运维人员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内训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2026.8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5人</w:t>
            </w:r>
          </w:p>
        </w:tc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社会工程防范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项目全员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内训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2026.10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7人</w:t>
            </w:r>
          </w:p>
        </w:tc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4932"/>
      <w:r>
        <w:rPr>
          <w:rFonts w:hint="default"/>
          <w:lang w:val="en-US" w:eastAsia="zh-CN"/>
        </w:rPr>
        <w:t>培训效果评估</w:t>
      </w:r>
      <w:bookmarkEnd w:id="3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培训结束后进行了效果评估，参训人员安全知识测试平均得分92分，较去年提升5分。参训人员反馈培训内容实用，对日常工作有指导作用。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1294"/>
      <w:r>
        <w:rPr>
          <w:rFonts w:hint="default"/>
          <w:lang w:val="en-US" w:eastAsia="zh-CN"/>
        </w:rPr>
        <w:t>信息安全检查与审计情况</w:t>
      </w:r>
      <w:bookmarkEnd w:id="3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883"/>
      <w:r>
        <w:rPr>
          <w:rFonts w:hint="default"/>
          <w:lang w:val="en-US" w:eastAsia="zh-CN"/>
        </w:rPr>
        <w:t>检查执行情况</w:t>
      </w:r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225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安全检查统计表</w:t>
      </w:r>
      <w:bookmarkEnd w:id="3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3"/>
        <w:gridCol w:w="1740"/>
        <w:gridCol w:w="1740"/>
        <w:gridCol w:w="1459"/>
        <w:gridCol w:w="215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3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检查类型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计划次数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实际次数</w:t>
            </w:r>
          </w:p>
        </w:tc>
        <w:tc>
          <w:tcPr>
            <w:tcW w:w="14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  <w:tc>
          <w:tcPr>
            <w:tcW w:w="215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发现问题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日常检查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3个（已处理）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周度检查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52次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52次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2个（已处理）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月度审计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1个（已处理）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季度检查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4次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2个（已处理）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年度评估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1次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2个（整改中）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6140"/>
      <w:r>
        <w:rPr>
          <w:rFonts w:hint="default"/>
          <w:lang w:val="en-US" w:eastAsia="zh-CN"/>
        </w:rPr>
        <w:t>发现的主要问题及整改情况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4291"/>
      <w:r>
        <w:rPr>
          <w:rFonts w:hint="eastAsia"/>
          <w:lang w:val="en-US" w:eastAsia="zh-CN"/>
        </w:rPr>
        <w:t xml:space="preserve"> 问题整改情况</w:t>
      </w:r>
      <w:r>
        <w:rPr>
          <w:rFonts w:hint="default"/>
          <w:lang w:val="en-US" w:eastAsia="zh-CN"/>
        </w:rPr>
        <w:t>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4"/>
        <w:gridCol w:w="3400"/>
        <w:gridCol w:w="2637"/>
        <w:gridCol w:w="13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发现时间</w:t>
            </w:r>
          </w:p>
        </w:tc>
        <w:tc>
          <w:tcPr>
            <w:tcW w:w="34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问题描述</w:t>
            </w:r>
          </w:p>
        </w:tc>
        <w:tc>
          <w:tcPr>
            <w:tcW w:w="263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整改措施</w:t>
            </w:r>
          </w:p>
        </w:tc>
        <w:tc>
          <w:tcPr>
            <w:tcW w:w="13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整改状态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2026.2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备份磁盘空间不足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清理旧备份，扩容空间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2026.5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部分账户密码超过90天未更新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通知相关人员更新密码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2026.8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防火墙策略未及时更新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审查并更新策略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2026.11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年度评估发现2个配置项需优化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已列入下年度计划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🔄 进行中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18998"/>
      <w:r>
        <w:rPr>
          <w:rFonts w:hint="default"/>
          <w:lang w:val="en-US" w:eastAsia="zh-CN"/>
        </w:rPr>
        <w:t>存在的问题与改进措施</w:t>
      </w:r>
      <w:bookmarkEnd w:id="3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26041"/>
      <w:r>
        <w:rPr>
          <w:rFonts w:hint="eastAsia"/>
          <w:lang w:val="en-US" w:eastAsia="zh-CN"/>
        </w:rPr>
        <w:t>主</w:t>
      </w:r>
      <w:r>
        <w:rPr>
          <w:rFonts w:hint="default"/>
          <w:lang w:val="en-US" w:eastAsia="zh-CN"/>
        </w:rPr>
        <w:t>要问题</w:t>
      </w:r>
      <w:bookmarkEnd w:id="3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配置基线管理：部分系统配置未形成标准化基线，存在配置不一致风险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漏洞扫描频次：当前每月扫描一次，部分高危漏洞发现不够及时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应急演练覆盖：安全应急演练尚未开展，预案有效性未验证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14220"/>
      <w:r>
        <w:rPr>
          <w:rFonts w:hint="default"/>
          <w:lang w:val="en-US" w:eastAsia="zh-CN"/>
        </w:rPr>
        <w:t>改进措施</w:t>
      </w:r>
      <w:bookmarkEnd w:id="39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bookmarkStart w:id="40" w:name="_GoBack"/>
      <w:bookmarkEnd w:id="40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6749"/>
      <w:r>
        <w:rPr>
          <w:rFonts w:hint="eastAsia"/>
          <w:lang w:val="en-US" w:eastAsia="zh-CN"/>
        </w:rPr>
        <w:t xml:space="preserve"> 改进措施</w:t>
      </w:r>
      <w:r>
        <w:rPr>
          <w:rFonts w:hint="default"/>
          <w:lang w:val="en-US" w:eastAsia="zh-CN"/>
        </w:rPr>
        <w:t>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525"/>
        <w:gridCol w:w="3267"/>
        <w:gridCol w:w="1497"/>
        <w:gridCol w:w="153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5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</w:t>
            </w:r>
          </w:p>
        </w:tc>
        <w:tc>
          <w:tcPr>
            <w:tcW w:w="32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改进措施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5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配置基线管理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制定系统安全配置基线，每季度检查一致性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漏洞扫描频次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提升至每周扫描一次，高危漏洞24小时内响应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组织信息安全应急演练（数据泄露场景）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2026年Q2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第三方安全评估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引入第三方安全评估，发现潜在盲点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2026年Q3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25652"/>
      <w:r>
        <w:rPr>
          <w:rFonts w:hint="default"/>
          <w:lang w:val="en-US" w:eastAsia="zh-CN"/>
        </w:rPr>
        <w:t>下年度工作计划</w:t>
      </w:r>
      <w:bookmarkEnd w:id="4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2628"/>
      <w:r>
        <w:rPr>
          <w:rFonts w:hint="default"/>
          <w:lang w:val="en-US" w:eastAsia="zh-CN"/>
        </w:rPr>
        <w:t>重点工作</w:t>
      </w:r>
      <w:bookmarkEnd w:id="4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安全基线建设：建立系统安全配置基线，实现配置标准化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漏洞管理优化：提升扫描频次，建立漏洞全生命周期管理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应急演练实战：组织信息安全应急演练，验证预案有效性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安全意识持续：每季度开展安全小课堂，提升全员安全意识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第三方评估：引入第三方安全评估，完善安全防护体系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7333"/>
      <w:r>
        <w:rPr>
          <w:rFonts w:hint="default"/>
          <w:lang w:val="en-US" w:eastAsia="zh-CN"/>
        </w:rPr>
        <w:t>下年度目标</w:t>
      </w:r>
      <w:bookmarkEnd w:id="4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27254"/>
      <w:r>
        <w:rPr>
          <w:rFonts w:hint="eastAsia"/>
          <w:lang w:val="en-US" w:eastAsia="zh-CN"/>
        </w:rPr>
        <w:t xml:space="preserve"> 2026年信息安全目标表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0"/>
        <w:gridCol w:w="1811"/>
        <w:gridCol w:w="353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31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目标类型</w:t>
            </w:r>
          </w:p>
        </w:tc>
        <w:tc>
          <w:tcPr>
            <w:tcW w:w="181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目标值</w:t>
            </w:r>
          </w:p>
        </w:tc>
        <w:tc>
          <w:tcPr>
            <w:tcW w:w="35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信息安全事件数量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0次/年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延续本年度良好态势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数据备份成功率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保持备份成功率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访问控制合规率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保持权限管理规范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安全漏洞修复率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≥98%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提升修复率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安全培训覆盖率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保持全员覆盖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安全应急演练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≥1次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新增演练目标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32193"/>
      <w:r>
        <w:rPr>
          <w:rFonts w:hint="default"/>
          <w:lang w:val="en-US" w:eastAsia="zh-CN"/>
        </w:rPr>
        <w:t>结论</w:t>
      </w:r>
      <w:bookmarkEnd w:id="4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度，《2026年国电电力湖南新能源系统运维项目》项目信息安全管理运行良好，各项安全目标全部达成，全年未发生信息安全事件。访问控制、数据备份、网络安全、系统加固等管控措施有效执行，风险评估及时，隐患整改闭环。信息安全组织和培训体系运行正常，全员安全意识持续提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下年度将继续优化安全管理措施，完善安全基线建设，提升漏洞管理能力，开展应急演练，持续保障项目信息安全。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8F38CC8"/>
    <w:multiLevelType w:val="singleLevel"/>
    <w:tmpl w:val="98F38CC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F84E13"/>
    <w:multiLevelType w:val="singleLevel"/>
    <w:tmpl w:val="0BF84E1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6CBB260"/>
    <w:multiLevelType w:val="singleLevel"/>
    <w:tmpl w:val="16CBB26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2758</Words>
  <Characters>3101</Characters>
  <Application>Microsoft Office Word</Application>
  <DocSecurity>0</DocSecurity>
  <Lines>0</Lines>
  <Paragraphs>0</Paragraphs>
  <ScaleCrop>false</ScaleCrop>
  <Company/>
  <LinksUpToDate>false</LinksUpToDate>
  <CharactersWithSpaces>3300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