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‌数飞科技(宁波)有限公司</w:t>
      </w:r>
      <w:bookmarkEnd w:id="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运维服务交付管理制度</w:t>
      </w:r>
    </w:p>
    <w:tbl>
      <w:tblPr>
        <w:tblStyle w:val="TableGrid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SFKJ-ITSS-0901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汪锦坤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马盛艳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陶飞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TableGrid"/>
        <w:tblW w:w="851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>
        <w:tblPrEx>
          <w:tblW w:w="8519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2026.1.3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汪锦坤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162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Strong"/>
          <w:rFonts w:ascii="微软雅黑" w:eastAsia="微软雅黑" w:hAnsi="微软雅黑" w:cs="微软雅黑" w:hint="default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065"/>
        <w:docPartObj>
          <w:docPartGallery w:val="Table of Contents"/>
          <w:docPartUnique/>
        </w:docPartObj>
      </w:sdtPr>
      <w:sdtEnd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_Toc26338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_Toc26338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_Toc16593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_Toc16593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_Toc24159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t>交付管理总则</w:t>
          </w:r>
          <w:r>
            <w:tab/>
          </w:r>
          <w:r>
            <w:fldChar w:fldCharType="begin"/>
          </w:r>
          <w:r>
            <w:instrText xml:space="preserve"> PAGEREF _Toc24159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_Toc9495 </w:instrText>
          </w:r>
          <w:r>
            <w:fldChar w:fldCharType="separate"/>
          </w:r>
          <w:r>
            <w:rPr>
              <w:rFonts w:hint="default"/>
            </w:rPr>
            <w:t xml:space="preserve">3.1. </w:t>
          </w:r>
          <w:r>
            <w:t>交付策划</w:t>
          </w:r>
          <w:r>
            <w:tab/>
          </w:r>
          <w:r>
            <w:fldChar w:fldCharType="begin"/>
          </w:r>
          <w:r>
            <w:instrText xml:space="preserve"> PAGEREF _Toc9495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_Toc20085 </w:instrText>
          </w:r>
          <w:r>
            <w:fldChar w:fldCharType="separate"/>
          </w:r>
          <w:r>
            <w:rPr>
              <w:rFonts w:hint="default"/>
            </w:rPr>
            <w:t xml:space="preserve">3.2. </w:t>
          </w:r>
          <w:r>
            <w:t>交付实施</w:t>
          </w:r>
          <w:r>
            <w:tab/>
          </w:r>
          <w:r>
            <w:fldChar w:fldCharType="begin"/>
          </w:r>
          <w:r>
            <w:instrText xml:space="preserve"> PAGEREF _Toc20085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_Toc1721 </w:instrText>
          </w:r>
          <w:r>
            <w:fldChar w:fldCharType="separate"/>
          </w:r>
          <w:r>
            <w:rPr>
              <w:rFonts w:hint="default"/>
            </w:rPr>
            <w:t xml:space="preserve">3.3. </w:t>
          </w:r>
          <w:r>
            <w:t>交付检查</w:t>
          </w:r>
          <w:r>
            <w:tab/>
          </w:r>
          <w:r>
            <w:fldChar w:fldCharType="begin"/>
          </w:r>
          <w:r>
            <w:instrText xml:space="preserve"> PAGEREF _Toc1721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_Toc31239 </w:instrText>
          </w:r>
          <w:r>
            <w:fldChar w:fldCharType="separate"/>
          </w:r>
          <w:r>
            <w:rPr>
              <w:rFonts w:hint="default"/>
            </w:rPr>
            <w:t xml:space="preserve">3.4. </w:t>
          </w:r>
          <w:r>
            <w:t>交付改进</w:t>
          </w:r>
          <w:r>
            <w:tab/>
          </w:r>
          <w:r>
            <w:fldChar w:fldCharType="begin"/>
          </w:r>
          <w:r>
            <w:instrText xml:space="preserve"> PAGEREF _Toc31239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_Toc24638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t>交付内容管理</w:t>
          </w:r>
          <w:r>
            <w:tab/>
          </w:r>
          <w:r>
            <w:fldChar w:fldCharType="begin"/>
          </w:r>
          <w:r>
            <w:instrText xml:space="preserve"> PAGEREF _Toc24638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_Toc28645 </w:instrText>
          </w:r>
          <w:r>
            <w:fldChar w:fldCharType="separate"/>
          </w:r>
          <w:r>
            <w:rPr>
              <w:rFonts w:hint="default"/>
            </w:rPr>
            <w:t xml:space="preserve">4.1. </w:t>
          </w:r>
          <w:r>
            <w:t>例行操作</w:t>
          </w:r>
          <w:r>
            <w:tab/>
          </w:r>
          <w:r>
            <w:fldChar w:fldCharType="begin"/>
          </w:r>
          <w:r>
            <w:instrText xml:space="preserve"> PAGEREF _Toc28645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_Toc12792 </w:instrText>
          </w:r>
          <w:r>
            <w:fldChar w:fldCharType="separate"/>
          </w:r>
          <w:r>
            <w:rPr>
              <w:rFonts w:hint="default"/>
            </w:rPr>
            <w:t xml:space="preserve">4.2. </w:t>
          </w:r>
          <w:r>
            <w:t>响应支持</w:t>
          </w:r>
          <w:r>
            <w:tab/>
          </w:r>
          <w:r>
            <w:fldChar w:fldCharType="begin"/>
          </w:r>
          <w:r>
            <w:instrText xml:space="preserve"> PAGEREF _Toc12792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_Toc12503 </w:instrText>
          </w:r>
          <w:r>
            <w:fldChar w:fldCharType="separate"/>
          </w:r>
          <w:r>
            <w:rPr>
              <w:rFonts w:hint="default"/>
            </w:rPr>
            <w:t xml:space="preserve">4.3. </w:t>
          </w:r>
          <w:r>
            <w:t>调研评估</w:t>
          </w:r>
          <w:r>
            <w:tab/>
          </w:r>
          <w:r>
            <w:fldChar w:fldCharType="begin"/>
          </w:r>
          <w:r>
            <w:instrText xml:space="preserve"> PAGEREF _Toc12503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_Toc23653 </w:instrText>
          </w:r>
          <w:r>
            <w:fldChar w:fldCharType="separate"/>
          </w:r>
          <w:r>
            <w:rPr>
              <w:rFonts w:hint="default"/>
            </w:rPr>
            <w:t xml:space="preserve">4.4. </w:t>
          </w:r>
          <w:r>
            <w:t>优化改善</w:t>
          </w:r>
          <w:r>
            <w:tab/>
          </w:r>
          <w:r>
            <w:fldChar w:fldCharType="begin"/>
          </w:r>
          <w:r>
            <w:instrText xml:space="preserve"> PAGEREF _Toc23653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_Toc15082 </w:instrText>
          </w:r>
          <w:r>
            <w:fldChar w:fldCharType="separate"/>
          </w:r>
          <w:r>
            <w:rPr>
              <w:rFonts w:hint="default"/>
            </w:rPr>
            <w:t xml:space="preserve">5. </w:t>
          </w:r>
          <w:r>
            <w:t>交付方式管理</w:t>
          </w:r>
          <w:r>
            <w:tab/>
          </w:r>
          <w:r>
            <w:fldChar w:fldCharType="begin"/>
          </w:r>
          <w:r>
            <w:instrText xml:space="preserve"> PAGEREF _Toc15082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_Toc11962 </w:instrText>
          </w:r>
          <w:r>
            <w:fldChar w:fldCharType="separate"/>
          </w:r>
          <w:r>
            <w:rPr>
              <w:rFonts w:hint="default"/>
            </w:rPr>
            <w:t xml:space="preserve">5.1. </w:t>
          </w:r>
          <w:r>
            <w:t>现场交付</w:t>
          </w:r>
          <w:r>
            <w:tab/>
          </w:r>
          <w:r>
            <w:fldChar w:fldCharType="begin"/>
          </w:r>
          <w:r>
            <w:instrText xml:space="preserve"> PAGEREF _Toc11962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_Toc19547 </w:instrText>
          </w:r>
          <w:r>
            <w:fldChar w:fldCharType="separate"/>
          </w:r>
          <w:r>
            <w:rPr>
              <w:rFonts w:hint="default"/>
            </w:rPr>
            <w:t xml:space="preserve">5.2. </w:t>
          </w:r>
          <w:r>
            <w:t>远程交付</w:t>
          </w:r>
          <w:r>
            <w:tab/>
          </w:r>
          <w:r>
            <w:fldChar w:fldCharType="begin"/>
          </w:r>
          <w:r>
            <w:instrText xml:space="preserve"> PAGEREF _Toc19547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_Toc21179 </w:instrText>
          </w:r>
          <w:r>
            <w:fldChar w:fldCharType="separate"/>
          </w:r>
          <w:r>
            <w:rPr>
              <w:rFonts w:hint="default"/>
            </w:rPr>
            <w:t xml:space="preserve">6. </w:t>
          </w:r>
          <w:r>
            <w:t>交付成果管理</w:t>
          </w:r>
          <w:r>
            <w:tab/>
          </w:r>
          <w:r>
            <w:fldChar w:fldCharType="begin"/>
          </w:r>
          <w:r>
            <w:instrText xml:space="preserve"> PAGEREF _Toc21179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_Toc649 </w:instrText>
          </w:r>
          <w:r>
            <w:fldChar w:fldCharType="separate"/>
          </w:r>
          <w:r>
            <w:rPr>
              <w:rFonts w:hint="default"/>
            </w:rPr>
            <w:t xml:space="preserve">7. </w:t>
          </w:r>
          <w:r>
            <w:t>交付管理要素</w:t>
          </w:r>
          <w:r>
            <w:tab/>
          </w:r>
          <w:r>
            <w:fldChar w:fldCharType="begin"/>
          </w:r>
          <w:r>
            <w:instrText xml:space="preserve"> PAGEREF _Toc649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_Toc18497 </w:instrText>
          </w:r>
          <w:r>
            <w:fldChar w:fldCharType="separate"/>
          </w:r>
          <w:r>
            <w:rPr>
              <w:rFonts w:hint="default"/>
            </w:rPr>
            <w:t xml:space="preserve">7.1. </w:t>
          </w:r>
          <w:r>
            <w:t>人员管理</w:t>
          </w:r>
          <w:r>
            <w:tab/>
          </w:r>
          <w:r>
            <w:fldChar w:fldCharType="begin"/>
          </w:r>
          <w:r>
            <w:instrText xml:space="preserve"> PAGEREF _Toc18497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_Toc24029 </w:instrText>
          </w:r>
          <w:r>
            <w:fldChar w:fldCharType="separate"/>
          </w:r>
          <w:r>
            <w:rPr>
              <w:rFonts w:hint="default"/>
            </w:rPr>
            <w:t xml:space="preserve">7.2. </w:t>
          </w:r>
          <w:r>
            <w:t>资源管理</w:t>
          </w:r>
          <w:r>
            <w:tab/>
          </w:r>
          <w:r>
            <w:fldChar w:fldCharType="begin"/>
          </w:r>
          <w:r>
            <w:instrText xml:space="preserve"> PAGEREF _Toc24029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_Toc30252 </w:instrText>
          </w:r>
          <w:r>
            <w:fldChar w:fldCharType="separate"/>
          </w:r>
          <w:r>
            <w:rPr>
              <w:rFonts w:hint="default"/>
            </w:rPr>
            <w:t xml:space="preserve">7.3. </w:t>
          </w:r>
          <w:r>
            <w:t>技术管理</w:t>
          </w:r>
          <w:r>
            <w:tab/>
          </w:r>
          <w:r>
            <w:fldChar w:fldCharType="begin"/>
          </w:r>
          <w:r>
            <w:instrText xml:space="preserve"> PAGEREF _Toc30252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_Toc14728 </w:instrText>
          </w:r>
          <w:r>
            <w:fldChar w:fldCharType="separate"/>
          </w:r>
          <w:r>
            <w:rPr>
              <w:rFonts w:hint="default"/>
            </w:rPr>
            <w:t xml:space="preserve">7.4. </w:t>
          </w:r>
          <w:r>
            <w:t>过程管理</w:t>
          </w:r>
          <w:r>
            <w:tab/>
          </w:r>
          <w:r>
            <w:fldChar w:fldCharType="begin"/>
          </w:r>
          <w:r>
            <w:instrText xml:space="preserve"> PAGEREF _Toc14728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_Toc17288 </w:instrText>
          </w:r>
          <w:r>
            <w:fldChar w:fldCharType="separate"/>
          </w:r>
          <w:r>
            <w:rPr>
              <w:rFonts w:hint="default"/>
            </w:rPr>
            <w:t xml:space="preserve">7.5. </w:t>
          </w:r>
          <w:r>
            <w:t>客户管理</w:t>
          </w:r>
          <w:r>
            <w:tab/>
          </w:r>
          <w:r>
            <w:fldChar w:fldCharType="begin"/>
          </w:r>
          <w:r>
            <w:instrText xml:space="preserve"> PAGEREF _Toc17288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_Toc32382 </w:instrText>
          </w:r>
          <w:r>
            <w:fldChar w:fldCharType="separate"/>
          </w:r>
          <w:r>
            <w:rPr>
              <w:rFonts w:hint="default"/>
            </w:rPr>
            <w:t xml:space="preserve">7.6. </w:t>
          </w:r>
          <w:r>
            <w:t>质量管理</w:t>
          </w:r>
          <w:r>
            <w:tab/>
          </w:r>
          <w:r>
            <w:fldChar w:fldCharType="begin"/>
          </w:r>
          <w:r>
            <w:instrText xml:space="preserve"> PAGEREF _Toc32382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_Toc811 </w:instrText>
          </w:r>
          <w:r>
            <w:fldChar w:fldCharType="separate"/>
          </w:r>
          <w:r>
            <w:rPr>
              <w:rFonts w:hint="default"/>
            </w:rPr>
            <w:t xml:space="preserve">7.7. </w:t>
          </w:r>
          <w:r>
            <w:t>预算管理</w:t>
          </w:r>
          <w:r>
            <w:tab/>
          </w:r>
          <w:r>
            <w:fldChar w:fldCharType="begin"/>
          </w:r>
          <w:r>
            <w:instrText xml:space="preserve"> PAGEREF _Toc811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_Toc21285 </w:instrText>
          </w:r>
          <w:r>
            <w:fldChar w:fldCharType="separate"/>
          </w:r>
          <w:r>
            <w:rPr>
              <w:rFonts w:hint="default"/>
            </w:rPr>
            <w:t xml:space="preserve">7.8. </w:t>
          </w:r>
          <w:r>
            <w:t>风险控制管理</w:t>
          </w:r>
          <w:r>
            <w:tab/>
          </w:r>
          <w:r>
            <w:fldChar w:fldCharType="begin"/>
          </w:r>
          <w:r>
            <w:instrText xml:space="preserve"> PAGEREF _Toc21285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_Toc3366 </w:instrText>
          </w:r>
          <w:r>
            <w:fldChar w:fldCharType="separate"/>
          </w:r>
          <w:r>
            <w:rPr>
              <w:rFonts w:hint="default"/>
            </w:rPr>
            <w:t xml:space="preserve">7.9. </w:t>
          </w:r>
          <w:r>
            <w:t>应急管理</w:t>
          </w:r>
          <w:r>
            <w:tab/>
          </w:r>
          <w:r>
            <w:fldChar w:fldCharType="begin"/>
          </w:r>
          <w:r>
            <w:instrText xml:space="preserve"> PAGEREF _Toc3366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_Toc21894 </w:instrText>
          </w:r>
          <w:r>
            <w:fldChar w:fldCharType="separate"/>
          </w:r>
          <w:r>
            <w:rPr>
              <w:rFonts w:hint="default"/>
            </w:rPr>
            <w:t xml:space="preserve">8. </w:t>
          </w:r>
          <w:r>
            <w:t>关键绩效指标（KPI）</w:t>
          </w:r>
          <w:r>
            <w:tab/>
          </w:r>
          <w:r>
            <w:fldChar w:fldCharType="begin"/>
          </w:r>
          <w:r>
            <w:instrText xml:space="preserve"> PAGEREF _Toc21894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_Toc31919 </w:instrText>
          </w:r>
          <w:r>
            <w:fldChar w:fldCharType="separate"/>
          </w:r>
          <w:r>
            <w:rPr>
              <w:rFonts w:hint="default"/>
            </w:rPr>
            <w:t xml:space="preserve">9. </w:t>
          </w:r>
          <w:r>
            <w:t>相关文件</w:t>
          </w:r>
          <w:r>
            <w:tab/>
          </w:r>
          <w:r>
            <w:fldChar w:fldCharType="begin"/>
          </w:r>
          <w:r>
            <w:instrText xml:space="preserve"> PAGEREF _Toc31919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_Toc7176 </w:instrText>
          </w:r>
          <w:r>
            <w:fldChar w:fldCharType="separate"/>
          </w:r>
          <w:r>
            <w:rPr>
              <w:rFonts w:hint="default"/>
            </w:rPr>
            <w:t xml:space="preserve">10. </w:t>
          </w:r>
          <w:r>
            <w:t>输出的文件及记录</w:t>
          </w:r>
          <w:r>
            <w:tab/>
          </w:r>
          <w:r>
            <w:fldChar w:fldCharType="begin"/>
          </w:r>
          <w:r>
            <w:instrText xml:space="preserve"> PAGEREF _Toc7176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eastAsia="宋体" w:hint="eastAsia"/>
          <w:lang w:val="en-US" w:eastAsia="zh-CN"/>
        </w:rPr>
      </w:pPr>
      <w:r>
        <w:rPr>
          <w:rFonts w:hint="eastAsia"/>
          <w:lang w:val="en-US" w:eastAsia="zh-CN"/>
        </w:rPr>
        <w:t>表目录</w:t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>TOC \h \c "表"</w:instrText>
      </w:r>
      <w:r>
        <w:fldChar w:fldCharType="separate"/>
      </w:r>
      <w:r>
        <w:fldChar w:fldCharType="begin"/>
      </w:r>
      <w:r>
        <w:instrText xml:space="preserve"> HYPERLINK \l _Toc9301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3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交付策划活动表</w:t>
      </w:r>
      <w:r>
        <w:tab/>
      </w:r>
      <w:r>
        <w:fldChar w:fldCharType="begin"/>
      </w:r>
      <w:r>
        <w:instrText xml:space="preserve"> PAGEREF _Toc9301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_Toc431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3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default"/>
          <w:lang w:val="en-US" w:eastAsia="zh-CN"/>
        </w:rPr>
        <w:t xml:space="preserve"> </w:t>
      </w:r>
      <w:r>
        <w:t>交付实施活动表</w:t>
      </w:r>
      <w:r>
        <w:tab/>
      </w:r>
      <w:r>
        <w:fldChar w:fldCharType="begin"/>
      </w:r>
      <w:r>
        <w:instrText xml:space="preserve"> PAGEREF _Toc431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_Toc222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3</w:t>
      </w:r>
      <w:r>
        <w:rPr>
          <w:rFonts w:hint="eastAsia"/>
          <w:lang w:val="en-US" w:eastAsia="zh-CN"/>
        </w:rPr>
        <w:t>-</w:t>
      </w:r>
      <w:r>
        <w:t xml:space="preserve">3 </w:t>
      </w:r>
      <w:r>
        <w:rPr>
          <w:rFonts w:hint="default"/>
          <w:lang w:val="en-US" w:eastAsia="zh-CN"/>
        </w:rPr>
        <w:t xml:space="preserve"> </w:t>
      </w:r>
      <w:r>
        <w:t>交付检查活动表</w:t>
      </w:r>
      <w:r>
        <w:tab/>
      </w:r>
      <w:r>
        <w:fldChar w:fldCharType="begin"/>
      </w:r>
      <w:r>
        <w:instrText xml:space="preserve"> PAGEREF _Toc222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_Toc17273 </w:instrText>
      </w:r>
      <w:r>
        <w:fldChar w:fldCharType="separate"/>
      </w:r>
      <w:r>
        <w:rPr>
          <w:rFonts w:hint="eastAsia"/>
          <w:lang w:val="en-US" w:eastAsia="zh-CN"/>
        </w:rPr>
        <w:t>表 3-</w:t>
      </w:r>
      <w:r>
        <w:t xml:space="preserve">4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交付改进活动表</w:t>
      </w:r>
      <w:r>
        <w:tab/>
      </w:r>
      <w:r>
        <w:fldChar w:fldCharType="begin"/>
      </w:r>
      <w:r>
        <w:instrText xml:space="preserve"> PAGEREF _Toc17273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_Toc25318 </w:instrText>
      </w:r>
      <w:r>
        <w:fldChar w:fldCharType="separate"/>
      </w:r>
      <w:r>
        <w:rPr>
          <w:rFonts w:hint="eastAsia"/>
          <w:lang w:val="en-US" w:eastAsia="zh-CN"/>
        </w:rPr>
        <w:t>表 4-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例行操作管理要求表</w:t>
      </w:r>
      <w:r>
        <w:tab/>
      </w:r>
      <w:r>
        <w:fldChar w:fldCharType="begin"/>
      </w:r>
      <w:r>
        <w:instrText xml:space="preserve"> PAGEREF _Toc25318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_Toc10242 </w:instrText>
      </w:r>
      <w:r>
        <w:fldChar w:fldCharType="separate"/>
      </w:r>
      <w:r>
        <w:rPr>
          <w:rFonts w:hint="eastAsia"/>
          <w:lang w:val="en-US" w:eastAsia="zh-CN"/>
        </w:rPr>
        <w:t>表 4-</w:t>
      </w:r>
      <w:r>
        <w:t xml:space="preserve">2 </w:t>
      </w:r>
      <w:r>
        <w:rPr>
          <w:rFonts w:hint="default"/>
          <w:lang w:val="en-US" w:eastAsia="zh-CN"/>
        </w:rPr>
        <w:t xml:space="preserve"> </w:t>
      </w:r>
      <w:r>
        <w:t>响应支持管理要求表</w:t>
      </w:r>
      <w:r>
        <w:tab/>
      </w:r>
      <w:r>
        <w:fldChar w:fldCharType="begin"/>
      </w:r>
      <w:r>
        <w:instrText xml:space="preserve"> PAGEREF _Toc10242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_Toc18674 </w:instrText>
      </w:r>
      <w:r>
        <w:fldChar w:fldCharType="separate"/>
      </w:r>
      <w:r>
        <w:rPr>
          <w:rFonts w:hint="eastAsia"/>
          <w:lang w:val="en-US" w:eastAsia="zh-CN"/>
        </w:rPr>
        <w:t>表 4-</w:t>
      </w:r>
      <w:r>
        <w:t xml:space="preserve">3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调研评估管理要求表</w:t>
      </w:r>
      <w:r>
        <w:tab/>
      </w:r>
      <w:r>
        <w:fldChar w:fldCharType="begin"/>
      </w:r>
      <w:r>
        <w:instrText xml:space="preserve"> PAGEREF _Toc18674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_Toc9868 </w:instrText>
      </w:r>
      <w:r>
        <w:fldChar w:fldCharType="separate"/>
      </w:r>
      <w:r>
        <w:rPr>
          <w:rFonts w:hint="eastAsia"/>
          <w:lang w:val="en-US" w:eastAsia="zh-CN"/>
        </w:rPr>
        <w:t>表 4-</w:t>
      </w:r>
      <w:r>
        <w:t xml:space="preserve">4 </w:t>
      </w:r>
      <w:r>
        <w:rPr>
          <w:rFonts w:hint="default"/>
          <w:lang w:val="en-US" w:eastAsia="zh-CN"/>
        </w:rPr>
        <w:t xml:space="preserve"> </w:t>
      </w:r>
      <w:r>
        <w:t>优化改善管理要求表</w:t>
      </w:r>
      <w:r>
        <w:tab/>
      </w:r>
      <w:r>
        <w:fldChar w:fldCharType="begin"/>
      </w:r>
      <w:r>
        <w:instrText xml:space="preserve"> PAGEREF _Toc9868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_Toc3580 </w:instrText>
      </w:r>
      <w:r>
        <w:fldChar w:fldCharType="separate"/>
      </w:r>
      <w:r>
        <w:rPr>
          <w:rFonts w:hint="eastAsia"/>
          <w:lang w:val="en-US" w:eastAsia="zh-CN"/>
        </w:rPr>
        <w:t>表 5-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现场交付要求表</w:t>
      </w:r>
      <w:r>
        <w:tab/>
      </w:r>
      <w:r>
        <w:fldChar w:fldCharType="begin"/>
      </w:r>
      <w:r>
        <w:instrText xml:space="preserve"> PAGEREF _Toc3580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_Toc26764 </w:instrText>
      </w:r>
      <w:r>
        <w:fldChar w:fldCharType="separate"/>
      </w:r>
      <w:r>
        <w:rPr>
          <w:rFonts w:hint="eastAsia"/>
          <w:lang w:val="en-US" w:eastAsia="zh-CN"/>
        </w:rPr>
        <w:t>表 5-</w:t>
      </w:r>
      <w:r>
        <w:t xml:space="preserve">2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远程交付要求表</w:t>
      </w:r>
      <w:r>
        <w:tab/>
      </w:r>
      <w:r>
        <w:fldChar w:fldCharType="begin"/>
      </w:r>
      <w:r>
        <w:instrText xml:space="preserve"> PAGEREF _Toc26764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_Toc31505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6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交付成果管理要求表</w:t>
      </w:r>
      <w:r>
        <w:tab/>
      </w:r>
      <w:r>
        <w:fldChar w:fldCharType="begin"/>
      </w:r>
      <w:r>
        <w:instrText xml:space="preserve"> PAGEREF _Toc31505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_Toc11355 </w:instrText>
      </w:r>
      <w:r>
        <w:fldChar w:fldCharType="separate"/>
      </w:r>
      <w:r>
        <w:rPr>
          <w:rFonts w:hint="eastAsia"/>
          <w:lang w:val="en-US" w:eastAsia="zh-CN"/>
        </w:rPr>
        <w:t>表 7-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人员管理要求表</w:t>
      </w:r>
      <w:r>
        <w:tab/>
      </w:r>
      <w:r>
        <w:fldChar w:fldCharType="begin"/>
      </w:r>
      <w:r>
        <w:instrText xml:space="preserve"> PAGEREF _Toc11355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_Toc15176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7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default"/>
          <w:lang w:val="en-US" w:eastAsia="zh-CN"/>
        </w:rPr>
        <w:t xml:space="preserve"> </w:t>
      </w:r>
      <w:r>
        <w:t>资源管理要求表</w:t>
      </w:r>
      <w:r>
        <w:tab/>
      </w:r>
      <w:r>
        <w:fldChar w:fldCharType="begin"/>
      </w:r>
      <w:r>
        <w:instrText xml:space="preserve"> PAGEREF _Toc15176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_Toc26668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7</w:t>
      </w:r>
      <w:r>
        <w:rPr>
          <w:rFonts w:hint="eastAsia"/>
          <w:lang w:val="en-US" w:eastAsia="zh-CN"/>
        </w:rPr>
        <w:t>-</w:t>
      </w:r>
      <w:r>
        <w:t xml:space="preserve">3 </w:t>
      </w:r>
      <w:r>
        <w:rPr>
          <w:rFonts w:hint="default"/>
          <w:lang w:val="en-US" w:eastAsia="zh-CN"/>
        </w:rPr>
        <w:t xml:space="preserve"> </w:t>
      </w:r>
      <w:r>
        <w:t>技术管理要求表</w:t>
      </w:r>
      <w:r>
        <w:tab/>
      </w:r>
      <w:r>
        <w:fldChar w:fldCharType="begin"/>
      </w:r>
      <w:r>
        <w:instrText xml:space="preserve"> PAGEREF _Toc26668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_Toc21464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7</w:t>
      </w:r>
      <w:r>
        <w:rPr>
          <w:rFonts w:hint="eastAsia"/>
          <w:lang w:val="en-US" w:eastAsia="zh-CN"/>
        </w:rPr>
        <w:t>-</w:t>
      </w:r>
      <w:r>
        <w:t xml:space="preserve">4 </w:t>
      </w:r>
      <w:r>
        <w:rPr>
          <w:rFonts w:hint="default"/>
          <w:lang w:val="en-US" w:eastAsia="zh-CN"/>
        </w:rPr>
        <w:t xml:space="preserve"> </w:t>
      </w:r>
      <w:r>
        <w:t>客户管理要求表</w:t>
      </w:r>
      <w:r>
        <w:tab/>
      </w:r>
      <w:r>
        <w:fldChar w:fldCharType="begin"/>
      </w:r>
      <w:r>
        <w:instrText xml:space="preserve"> PAGEREF _Toc21464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_Toc4613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7</w:t>
      </w:r>
      <w:r>
        <w:rPr>
          <w:rFonts w:hint="eastAsia"/>
          <w:lang w:val="en-US" w:eastAsia="zh-CN"/>
        </w:rPr>
        <w:t>-</w:t>
      </w:r>
      <w:r>
        <w:t xml:space="preserve">5 </w:t>
      </w:r>
      <w:r>
        <w:rPr>
          <w:rFonts w:hint="default"/>
          <w:lang w:val="en-US" w:eastAsia="zh-CN"/>
        </w:rPr>
        <w:t xml:space="preserve"> </w:t>
      </w:r>
      <w:r>
        <w:t>预算管理要求表</w:t>
      </w:r>
      <w:r>
        <w:tab/>
      </w:r>
      <w:r>
        <w:fldChar w:fldCharType="begin"/>
      </w:r>
      <w:r>
        <w:instrText xml:space="preserve"> PAGEREF _Toc4613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_Toc17491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7</w:t>
      </w:r>
      <w:r>
        <w:rPr>
          <w:rFonts w:hint="eastAsia"/>
          <w:lang w:val="en-US" w:eastAsia="zh-CN"/>
        </w:rPr>
        <w:t>-</w:t>
      </w:r>
      <w:r>
        <w:t xml:space="preserve">6 </w:t>
      </w:r>
      <w:r>
        <w:rPr>
          <w:rFonts w:hint="default"/>
          <w:lang w:val="en-US" w:eastAsia="zh-CN"/>
        </w:rPr>
        <w:t xml:space="preserve"> </w:t>
      </w:r>
      <w:r>
        <w:t>风险控制管理要求表</w:t>
      </w:r>
      <w:r>
        <w:tab/>
      </w:r>
      <w:r>
        <w:fldChar w:fldCharType="begin"/>
      </w:r>
      <w:r>
        <w:instrText xml:space="preserve"> PAGEREF _Toc17491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_Toc10769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7</w:t>
      </w:r>
      <w:r>
        <w:rPr>
          <w:rFonts w:hint="eastAsia"/>
          <w:lang w:val="en-US" w:eastAsia="zh-CN"/>
        </w:rPr>
        <w:t>-</w:t>
      </w:r>
      <w:r>
        <w:t xml:space="preserve">7 </w:t>
      </w:r>
      <w:r>
        <w:rPr>
          <w:rFonts w:hint="default"/>
          <w:lang w:val="en-US" w:eastAsia="zh-CN"/>
        </w:rPr>
        <w:t xml:space="preserve"> </w:t>
      </w:r>
      <w:r>
        <w:t>应急管理要求表</w:t>
      </w:r>
      <w:r>
        <w:tab/>
      </w:r>
      <w:r>
        <w:fldChar w:fldCharType="begin"/>
      </w:r>
      <w:r>
        <w:instrText xml:space="preserve"> PAGEREF _Toc10769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_Toc13157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8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KPI指标表</w:t>
      </w:r>
      <w:r>
        <w:tab/>
      </w:r>
      <w:r>
        <w:fldChar w:fldCharType="begin"/>
      </w:r>
      <w:r>
        <w:instrText xml:space="preserve"> PAGEREF _Toc13157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_Toc23181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10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输出文件记录表</w:t>
      </w:r>
      <w:r>
        <w:tab/>
      </w:r>
      <w:r>
        <w:fldChar w:fldCharType="begin"/>
      </w:r>
      <w:r>
        <w:instrText xml:space="preserve"> PAGEREF _Toc23181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end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heading_2"/>
      <w:bookmarkStart w:id="2" w:name="_Toc26338"/>
      <w:bookmarkStart w:id="3" w:name="heading_29"/>
      <w:r>
        <w:t>目的</w:t>
      </w:r>
      <w:bookmarkEnd w:id="1"/>
      <w:bookmarkEnd w:id="2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为全面规范公司运维服务项目的交付流程，构建标准化、流程化、可衡量、可追溯的服务交付体系，确保服务交付质量稳定满足服务级别协议（SLA）要求，持续提升客户满意度，并为公司申请及维持ITSS信息技术服务运行维护标准符合性提供体系保障，特制定本规范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heading_3"/>
      <w:bookmarkStart w:id="5" w:name="_Toc16593"/>
      <w:r>
        <w:t>适用范围</w:t>
      </w:r>
      <w:bookmarkEnd w:id="4"/>
      <w:bookmarkEnd w:id="5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规范适用于‌数飞科技(宁波)有限公司（以下简称“公司”）承接的所有运维服务项目。涵盖公司运维部、研发部、质量部、人力部等所有参与服务交付的部门及人员，并对服务交付全流程中的各项活动、文档、资源及成果管理具有约束作用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heading_4"/>
      <w:bookmarkStart w:id="7" w:name="_Toc24159"/>
      <w:r>
        <w:t>交付管理总则</w:t>
      </w:r>
      <w:bookmarkEnd w:id="6"/>
      <w:bookmarkEnd w:id="7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公司采用PDCA（计划-执行-检查-处理）循环管理模式，通过交付策划、交付实施、交付检查、交付改进四个核心环节，实现服务交付质量的闭环管控。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" w:name="heading_5"/>
      <w:bookmarkStart w:id="9" w:name="_Toc9495"/>
      <w:r>
        <w:t>交付策划</w:t>
      </w:r>
      <w:bookmarkEnd w:id="8"/>
      <w:bookmarkEnd w:id="9"/>
    </w:p>
    <w:p>
      <w:pPr>
        <w:pStyle w:val="a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3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0" w:name="_Toc9301"/>
      <w:r>
        <w:rPr>
          <w:rFonts w:hint="default"/>
          <w:lang w:val="en-US" w:eastAsia="zh-CN"/>
        </w:rPr>
        <w:t xml:space="preserve"> </w:t>
      </w:r>
      <w:r>
        <w:t>交付策划活动表</w:t>
      </w:r>
      <w:bookmarkEnd w:id="10"/>
    </w:p>
    <w:tbl>
      <w:tblPr>
        <w:tblStyle w:val="TableNormal"/>
        <w:tblW w:w="82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2058"/>
        <w:gridCol w:w="6222"/>
      </w:tblGrid>
      <w:tr>
        <w:tblPrEx>
          <w:tblW w:w="82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058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活动</w:t>
            </w:r>
          </w:p>
        </w:tc>
        <w:tc>
          <w:tcPr>
            <w:tcW w:w="6222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内容要求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05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项目启动与交底</w:t>
            </w:r>
          </w:p>
        </w:tc>
        <w:tc>
          <w:tcPr>
            <w:tcW w:w="622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与客户召开项目交底会，明确服务范围、SLA指标、沟通机制、应急联络方式，形成《项目交底会议纪要》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05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编制服务计划</w:t>
            </w:r>
          </w:p>
        </w:tc>
        <w:tc>
          <w:tcPr>
            <w:tcW w:w="622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编制《项目服务总计划》和《运维服务交付计划》，细化交付实施、检查、改进计划，明确里程碑节点、交付物、责任人及验收标准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05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组建服务团队</w:t>
            </w:r>
          </w:p>
        </w:tc>
        <w:tc>
          <w:tcPr>
            <w:tcW w:w="622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组建“一线、二线、三线”三级运维服务体系，明确运维部经理、运维项目经理、硬件运维工程师、软件运维工程师、服务台专员、技术支持工程师的岗位职责。核心团队成员配置需参考公司人员岗位说明书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05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建立资产与配置档案</w:t>
            </w:r>
          </w:p>
        </w:tc>
        <w:tc>
          <w:tcPr>
            <w:tcW w:w="622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详细记录客户系统环境信息，建立并维护《系统配置信息台账》，作为所有运维工作的基础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05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资源与工具筹备</w:t>
            </w:r>
          </w:p>
        </w:tc>
        <w:tc>
          <w:tcPr>
            <w:tcW w:w="622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确保运维工具（监控平台、工单系统）、备件、知识库等资源就绪并完成调试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05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风险评估与预案制定</w:t>
            </w:r>
          </w:p>
        </w:tc>
        <w:tc>
          <w:tcPr>
            <w:tcW w:w="622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开展全面风险评估，识别技术、资源、数据安全等风险，制定《风险管理计划》和专项应急预案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1" w:name="heading_6"/>
      <w:bookmarkStart w:id="12" w:name="_Toc20085"/>
      <w:r>
        <w:t>交付实施</w:t>
      </w:r>
      <w:bookmarkEnd w:id="11"/>
      <w:bookmarkEnd w:id="12"/>
    </w:p>
    <w:p>
      <w:pPr>
        <w:pStyle w:val="a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3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13" w:name="_Toc431"/>
      <w:r>
        <w:rPr>
          <w:rFonts w:hint="default"/>
          <w:lang w:val="en-US" w:eastAsia="zh-CN"/>
        </w:rPr>
        <w:t xml:space="preserve"> </w:t>
      </w:r>
      <w:r>
        <w:t>交付实施活动表</w:t>
      </w:r>
      <w:bookmarkEnd w:id="13"/>
    </w:p>
    <w:tbl>
      <w:tblPr>
        <w:tblStyle w:val="TableNormal"/>
        <w:tblW w:w="82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101"/>
        <w:gridCol w:w="7179"/>
      </w:tblGrid>
      <w:tr>
        <w:tblPrEx>
          <w:tblW w:w="82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活动</w:t>
            </w:r>
          </w:p>
        </w:tc>
        <w:tc>
          <w:tcPr>
            <w:tcW w:w="7179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内容要求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标准化操作</w:t>
            </w:r>
          </w:p>
        </w:tc>
        <w:tc>
          <w:tcPr>
            <w:tcW w:w="717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严格遵循服务计划及《例行操作指导手册》等规范，通过工单系统统一受理、派发、处理所有服务请求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SLA实时监控</w:t>
            </w:r>
          </w:p>
        </w:tc>
        <w:tc>
          <w:tcPr>
            <w:tcW w:w="717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建立SLA达成情况实时监控机制，每日统计服务响应时间、故障解决率等关键数据，发现偏差及时预警和整改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分级故障处理</w:t>
            </w:r>
          </w:p>
        </w:tc>
        <w:tc>
          <w:tcPr>
            <w:tcW w:w="717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严格执行故障处理流程，一线快速响应和预处理，二线负责疑难故障排查与解决，三线技术支持负责重大故障应急处理和代码级问题攻关。确保所有故障在规定时限内闭环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定期巡检与备份</w:t>
            </w:r>
          </w:p>
        </w:tc>
        <w:tc>
          <w:tcPr>
            <w:tcW w:w="717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严格执行“每日轻巡检、每周全巡检、每月深度巡检”制度，并执行数据备份策略，定期开展恢复演练，确保数据安全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10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信息传递与报告</w:t>
            </w:r>
          </w:p>
        </w:tc>
        <w:tc>
          <w:tcPr>
            <w:tcW w:w="717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通过周报、月报、季报等形式，定期向客户及公司管理层同步项目进展、风险状况、服务成果。报告需数据真实、内容完整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4" w:name="heading_7"/>
      <w:bookmarkStart w:id="15" w:name="_Toc1721"/>
      <w:r>
        <w:t>交付检查</w:t>
      </w:r>
      <w:bookmarkEnd w:id="14"/>
      <w:bookmarkEnd w:id="15"/>
    </w:p>
    <w:p>
      <w:pPr>
        <w:pStyle w:val="a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3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bookmarkStart w:id="16" w:name="_Toc222"/>
      <w:r>
        <w:rPr>
          <w:rFonts w:hint="default"/>
          <w:lang w:val="en-US" w:eastAsia="zh-CN"/>
        </w:rPr>
        <w:t xml:space="preserve"> </w:t>
      </w:r>
      <w:r>
        <w:t>交付检查活动表</w:t>
      </w:r>
      <w:bookmarkEnd w:id="16"/>
    </w:p>
    <w:tbl>
      <w:tblPr>
        <w:tblStyle w:val="TableNormal"/>
        <w:tblW w:w="82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341"/>
        <w:gridCol w:w="6939"/>
      </w:tblGrid>
      <w:tr>
        <w:tblPrEx>
          <w:tblW w:w="82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341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活动</w:t>
            </w:r>
          </w:p>
        </w:tc>
        <w:tc>
          <w:tcPr>
            <w:tcW w:w="6939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内容要求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34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运维部自查</w:t>
            </w:r>
          </w:p>
        </w:tc>
        <w:tc>
          <w:tcPr>
            <w:tcW w:w="693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运维项目经理每月组织项目自查，对照交付计划与SLA要求，检查服务实施情况，形成《自查报告》并自行整改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34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质量部抽查</w:t>
            </w:r>
          </w:p>
        </w:tc>
        <w:tc>
          <w:tcPr>
            <w:tcW w:w="693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质量部经理每季度对重点项目进行全覆盖抽查，依据《运维服务质量检查表》，重点检查交付计划执行、SLA达成、流程合规性、文档完整性等，填写《交付检查报告》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34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问题反馈与跟踪</w:t>
            </w:r>
          </w:p>
        </w:tc>
        <w:tc>
          <w:tcPr>
            <w:tcW w:w="693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检查结果及时反馈给运维部及公司管理层，作为项目考核与服务改进的重要依据，并纳入问题整改台账跟踪闭环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7" w:name="heading_8"/>
      <w:bookmarkStart w:id="18" w:name="_Toc31239"/>
      <w:r>
        <w:t>交付改进</w:t>
      </w:r>
      <w:bookmarkEnd w:id="17"/>
      <w:bookmarkEnd w:id="18"/>
    </w:p>
    <w:p>
      <w:pPr>
        <w:pStyle w:val="a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STYLEREF "柴_标题1"\n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bookmarkStart w:id="19" w:name="_Toc17273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交付改进活动表</w:t>
      </w:r>
      <w:bookmarkEnd w:id="19"/>
    </w:p>
    <w:tbl>
      <w:tblPr>
        <w:tblStyle w:val="TableNormal"/>
        <w:tblW w:w="82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251"/>
        <w:gridCol w:w="7029"/>
      </w:tblGrid>
      <w:tr>
        <w:tblPrEx>
          <w:tblW w:w="82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251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活动</w:t>
            </w:r>
          </w:p>
        </w:tc>
        <w:tc>
          <w:tcPr>
            <w:tcW w:w="7029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内容要求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25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问题分析与改进</w:t>
            </w:r>
          </w:p>
        </w:tc>
        <w:tc>
          <w:tcPr>
            <w:tcW w:w="702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质量部牵头，针对检查报告和客户投诉，组织召开专题分析会，制定改进方案，明确整改措施、时限与责任人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25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服务复盘</w:t>
            </w:r>
          </w:p>
        </w:tc>
        <w:tc>
          <w:tcPr>
            <w:tcW w:w="702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定期（如项目结束后或每季度）组织服务复盘会议，总结经验教训，形成《服务改进报告》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25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体系优化与固化</w:t>
            </w:r>
          </w:p>
        </w:tc>
        <w:tc>
          <w:tcPr>
            <w:tcW w:w="702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将改进成果固化到服务流程、操作手册、知识库中，持续完善公司服务交付体系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0" w:name="_Toc24638"/>
      <w:bookmarkStart w:id="21" w:name="heading_9"/>
      <w:r>
        <w:t>交付内容管理</w:t>
      </w:r>
      <w:bookmarkEnd w:id="20"/>
      <w:bookmarkEnd w:id="21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公司运维服务交付内容涵盖例行操作、响应支持、调研评估、优化改善四大类。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2" w:name="_Toc28645"/>
      <w:bookmarkStart w:id="23" w:name="heading_10"/>
      <w:r>
        <w:t>例行操作</w:t>
      </w:r>
      <w:bookmarkEnd w:id="22"/>
      <w:bookmarkEnd w:id="23"/>
    </w:p>
    <w:p>
      <w:pPr>
        <w:pStyle w:val="a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STYLEREF "柴_标题1"\n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24" w:name="_Toc25318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例行操作管理要求表</w:t>
      </w:r>
      <w:bookmarkEnd w:id="24"/>
    </w:p>
    <w:tbl>
      <w:tblPr>
        <w:tblStyle w:val="TableNormal"/>
        <w:tblW w:w="82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731"/>
        <w:gridCol w:w="7549"/>
      </w:tblGrid>
      <w:tr>
        <w:tblPrEx>
          <w:tblW w:w="82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731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7549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管理要求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3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754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针对日常巡检、数据备份、状态监控等例行工作，编制《例行操作工作计划》和《例行操作指导手册》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3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754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所有例行操作需严格遵守操作手册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3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754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操作记录和数据需及时归档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5" w:name="heading_11"/>
      <w:bookmarkStart w:id="26" w:name="_Toc12792"/>
      <w:r>
        <w:t>响应支持</w:t>
      </w:r>
      <w:bookmarkEnd w:id="25"/>
      <w:bookmarkEnd w:id="26"/>
    </w:p>
    <w:p>
      <w:pPr>
        <w:pStyle w:val="a4"/>
        <w:bidi w:val="0"/>
        <w:jc w:val="center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STYLEREF "柴_标题1"\n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27" w:name="_Toc10242"/>
      <w:r>
        <w:rPr>
          <w:rFonts w:hint="default"/>
          <w:lang w:val="en-US" w:eastAsia="zh-CN"/>
        </w:rPr>
        <w:t xml:space="preserve"> </w:t>
      </w:r>
      <w:r>
        <w:t>响应支持管理要求表</w:t>
      </w:r>
      <w:bookmarkEnd w:id="27"/>
    </w:p>
    <w:tbl>
      <w:tblPr>
        <w:tblStyle w:val="TableNormal"/>
        <w:tblW w:w="82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040"/>
        <w:gridCol w:w="7240"/>
      </w:tblGrid>
      <w:tr>
        <w:tblPrEx>
          <w:tblW w:w="82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040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7240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管理要求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04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针对客户突发故障、服务请求等，需快速响应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04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服务台作为统一受理窗口，公开受理渠道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04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故障处理需在工单系统中全流程记录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04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处理完成后需经客户确认方可关闭工单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8" w:name="heading_12"/>
      <w:bookmarkStart w:id="29" w:name="_Toc12503"/>
      <w:r>
        <w:t>调研评估</w:t>
      </w:r>
      <w:bookmarkEnd w:id="28"/>
      <w:bookmarkEnd w:id="29"/>
    </w:p>
    <w:p>
      <w:pPr>
        <w:pStyle w:val="a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STYLEREF "柴_标题1"\n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bookmarkStart w:id="30" w:name="_Toc18674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调研评估管理要求表</w:t>
      </w:r>
      <w:bookmarkEnd w:id="30"/>
    </w:p>
    <w:tbl>
      <w:tblPr>
        <w:tblStyle w:val="TableNormal"/>
        <w:tblW w:w="82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812"/>
        <w:gridCol w:w="7468"/>
      </w:tblGrid>
      <w:tr>
        <w:tblPrEx>
          <w:tblW w:w="82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812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7468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管理要求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81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746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针对系统现状分析、优化建议等需求，编制《调研评估计划》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81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746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组织专业团队开展调研，形成《调研评估报告》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812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74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跟踪建议落地效果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1" w:name="_Toc23653"/>
      <w:bookmarkStart w:id="32" w:name="heading_13"/>
      <w:r>
        <w:t>优化改善</w:t>
      </w:r>
      <w:bookmarkEnd w:id="31"/>
      <w:bookmarkEnd w:id="32"/>
    </w:p>
    <w:p>
      <w:pPr>
        <w:pStyle w:val="a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STYLEREF "柴_标题1"\n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bookmarkStart w:id="33" w:name="_Toc9868"/>
      <w:r>
        <w:rPr>
          <w:rFonts w:hint="default"/>
          <w:lang w:val="en-US" w:eastAsia="zh-CN"/>
        </w:rPr>
        <w:t xml:space="preserve"> </w:t>
      </w:r>
      <w:r>
        <w:t>优化改善管理要求表</w:t>
      </w:r>
      <w:bookmarkEnd w:id="33"/>
    </w:p>
    <w:tbl>
      <w:tblPr>
        <w:tblStyle w:val="TableNormal"/>
        <w:tblW w:w="82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732"/>
        <w:gridCol w:w="7548"/>
      </w:tblGrid>
      <w:tr>
        <w:tblPrEx>
          <w:tblW w:w="82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732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7548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管理要求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3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754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基于调研评估结果，编制《优化改善方案》，明确优化目标、实施步骤、风险预案及回退方案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32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754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实施后设置观察期，编制《优化改善服务总结报告》量化评估效果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4" w:name="heading_14"/>
      <w:bookmarkStart w:id="35" w:name="_Toc15082"/>
      <w:r>
        <w:t>交付方式管理</w:t>
      </w:r>
      <w:bookmarkEnd w:id="34"/>
      <w:bookmarkEnd w:id="35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公司采用现场交付与远程交付相结合的方式。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6" w:name="heading_15"/>
      <w:bookmarkStart w:id="37" w:name="_Toc11962"/>
      <w:r>
        <w:t>现场交付</w:t>
      </w:r>
      <w:bookmarkEnd w:id="36"/>
      <w:bookmarkEnd w:id="37"/>
    </w:p>
    <w:p>
      <w:pPr>
        <w:pStyle w:val="a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STYLEREF "柴_标题1"\n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38" w:name="_Toc3580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现场交付要求表</w:t>
      </w:r>
      <w:bookmarkEnd w:id="38"/>
    </w:p>
    <w:tbl>
      <w:tblPr>
        <w:tblStyle w:val="TableNormal"/>
        <w:tblW w:w="82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896"/>
        <w:gridCol w:w="7384"/>
      </w:tblGrid>
      <w:tr>
        <w:tblPrEx>
          <w:tblW w:w="82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896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7384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管理要求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89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738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需提前与客户沟通确认时间、地点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89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738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工程师需遵守客户现场管理规定，特别是数据安全要求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89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738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服务完成后由客户签字确认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9" w:name="heading_16"/>
      <w:bookmarkStart w:id="40" w:name="_Toc19547"/>
      <w:r>
        <w:t>远程交付</w:t>
      </w:r>
      <w:bookmarkEnd w:id="39"/>
      <w:bookmarkEnd w:id="40"/>
    </w:p>
    <w:p>
      <w:pPr>
        <w:pStyle w:val="a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STYLEREF "柴_标题1"\n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41" w:name="_Toc26764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远程交付要求表</w:t>
      </w:r>
      <w:bookmarkEnd w:id="41"/>
    </w:p>
    <w:tbl>
      <w:tblPr>
        <w:tblStyle w:val="TableNormal"/>
        <w:tblW w:w="82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733"/>
        <w:gridCol w:w="7547"/>
      </w:tblGrid>
      <w:tr>
        <w:tblPrEx>
          <w:tblW w:w="82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733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7547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管理要求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3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754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需保障网络通畅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3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754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必要时对关键操作进行录屏存档，确保服务可追溯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33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754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交付前明确各阶段工作内容、目标要求、时间节点，并及时告知客户与工程师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2" w:name="heading_17"/>
      <w:bookmarkStart w:id="43" w:name="_Toc21179"/>
      <w:r>
        <w:t>交付成果管理</w:t>
      </w:r>
      <w:bookmarkEnd w:id="42"/>
      <w:bookmarkEnd w:id="43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交付成果需进行全生命周期规范化管理。</w:t>
      </w:r>
    </w:p>
    <w:p>
      <w:pPr>
        <w:pStyle w:val="a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6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44" w:name="_Toc31505"/>
      <w:r>
        <w:rPr>
          <w:rFonts w:hint="default"/>
          <w:lang w:val="en-US" w:eastAsia="zh-CN"/>
        </w:rPr>
        <w:t xml:space="preserve"> </w:t>
      </w:r>
      <w:r>
        <w:t>交付成果管理要求表</w:t>
      </w:r>
      <w:bookmarkEnd w:id="44"/>
    </w:p>
    <w:tbl>
      <w:tblPr>
        <w:tblStyle w:val="TableNormal"/>
        <w:tblW w:w="82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204"/>
        <w:gridCol w:w="7076"/>
      </w:tblGrid>
      <w:tr>
        <w:tblPrEx>
          <w:tblW w:w="82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204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管理环节</w:t>
            </w:r>
          </w:p>
        </w:tc>
        <w:tc>
          <w:tcPr>
            <w:tcW w:w="7076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内容要求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20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明确要求</w:t>
            </w:r>
          </w:p>
        </w:tc>
        <w:tc>
          <w:tcPr>
            <w:tcW w:w="707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与客户提前明确交付成果的受众、内容、提交时间及频次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20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规范格式</w:t>
            </w:r>
          </w:p>
        </w:tc>
        <w:tc>
          <w:tcPr>
            <w:tcW w:w="707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所有交付物需使用公司统一文档模板，确保专业性与统一性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20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审核流程</w:t>
            </w:r>
          </w:p>
        </w:tc>
        <w:tc>
          <w:tcPr>
            <w:tcW w:w="707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交付成果由指定人员编写后，经运维项目经理审核确认方可提交客户；重要报告需先通过公司内部审核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20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归档制度</w:t>
            </w:r>
          </w:p>
        </w:tc>
        <w:tc>
          <w:tcPr>
            <w:tcW w:w="707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建立交付成果归档制度。运维项目经理负责在项目过程中本地保存所有交付成果，项目结束后统一提交人力部归档，并设置权限管理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5" w:name="heading_18"/>
      <w:bookmarkStart w:id="46" w:name="_Toc649"/>
      <w:r>
        <w:t>交付管理要素</w:t>
      </w:r>
      <w:bookmarkEnd w:id="45"/>
      <w:bookmarkEnd w:id="46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7" w:name="_Toc18497"/>
      <w:bookmarkStart w:id="48" w:name="heading_19"/>
      <w:r>
        <w:t>人员管理</w:t>
      </w:r>
      <w:bookmarkEnd w:id="47"/>
      <w:bookmarkEnd w:id="48"/>
    </w:p>
    <w:p>
      <w:pPr>
        <w:pStyle w:val="a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STYLEREF "柴_标题1"\n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7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49" w:name="_Toc11355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人员管理要求表</w:t>
      </w:r>
      <w:bookmarkEnd w:id="49"/>
    </w:p>
    <w:tbl>
      <w:tblPr>
        <w:tblStyle w:val="TableNormal"/>
        <w:tblW w:w="82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362"/>
        <w:gridCol w:w="6918"/>
      </w:tblGrid>
      <w:tr>
        <w:tblPrEx>
          <w:tblW w:w="82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362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子项</w:t>
            </w:r>
          </w:p>
        </w:tc>
        <w:tc>
          <w:tcPr>
            <w:tcW w:w="6918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内容要求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36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岗位职责</w:t>
            </w:r>
          </w:p>
        </w:tc>
        <w:tc>
          <w:tcPr>
            <w:tcW w:w="691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明确运维部经理、运维项目经理、硬件运维工程师、软件运维工程师、服务台专员、技术支持工程师等各岗位职责，建立清晰的三级运维体系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36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人员储备</w:t>
            </w:r>
          </w:p>
        </w:tc>
        <w:tc>
          <w:tcPr>
            <w:tcW w:w="691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建立人才储备库，关键岗位（如运维项目经理、技术支持工程师）需有AB角备份，保障服务可持续性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36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人员培训</w:t>
            </w:r>
          </w:p>
        </w:tc>
        <w:tc>
          <w:tcPr>
            <w:tcW w:w="691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制定年度培训计划，开展新员工入职、在岗技能提升、安全合规等培训。鼓励员工考取专业资质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362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人员考核</w:t>
            </w:r>
          </w:p>
        </w:tc>
        <w:tc>
          <w:tcPr>
            <w:tcW w:w="691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建立多维度考核体系，考核指标包括SLA达成率、故障解决率、客户满意度、知识贡献度等，考核结果与绩效挂钩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0" w:name="heading_20"/>
      <w:bookmarkStart w:id="51" w:name="_Toc24029"/>
      <w:r>
        <w:t>资源管理</w:t>
      </w:r>
      <w:bookmarkEnd w:id="50"/>
      <w:bookmarkEnd w:id="51"/>
    </w:p>
    <w:p>
      <w:pPr>
        <w:pStyle w:val="a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7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52" w:name="_Toc15176"/>
      <w:r>
        <w:rPr>
          <w:rFonts w:hint="default"/>
          <w:lang w:val="en-US" w:eastAsia="zh-CN"/>
        </w:rPr>
        <w:t xml:space="preserve"> </w:t>
      </w:r>
      <w:r>
        <w:t>资源管理要求表</w:t>
      </w:r>
      <w:bookmarkEnd w:id="52"/>
    </w:p>
    <w:tbl>
      <w:tblPr>
        <w:tblStyle w:val="TableNormal"/>
        <w:tblW w:w="82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578"/>
        <w:gridCol w:w="6702"/>
      </w:tblGrid>
      <w:tr>
        <w:tblPrEx>
          <w:tblW w:w="82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578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子项</w:t>
            </w:r>
          </w:p>
        </w:tc>
        <w:tc>
          <w:tcPr>
            <w:tcW w:w="6702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内容要求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7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服务台</w:t>
            </w:r>
          </w:p>
        </w:tc>
        <w:tc>
          <w:tcPr>
            <w:tcW w:w="670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设立统一服务台，集中受理用户请求与报障，严格遵照《服务台管理制度》运营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7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运维工具</w:t>
            </w:r>
          </w:p>
        </w:tc>
        <w:tc>
          <w:tcPr>
            <w:tcW w:w="670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使用监控平台、工单系统等适配工具，并遵守《运维服务工具管理制度》，确保数据可追溯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7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备件管理</w:t>
            </w:r>
          </w:p>
        </w:tc>
        <w:tc>
          <w:tcPr>
            <w:tcW w:w="670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依据SLA制定备件储备计划，建立备件全流程管理机制，遵照《备件库管理制度》执行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7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服务知识库</w:t>
            </w:r>
          </w:p>
        </w:tc>
        <w:tc>
          <w:tcPr>
            <w:tcW w:w="670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建立公司级服务知识库，鼓励员工沉淀知识，提升问题解决效率，遵照《知识库管理制度》执行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7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软件管理</w:t>
            </w:r>
          </w:p>
        </w:tc>
        <w:tc>
          <w:tcPr>
            <w:tcW w:w="670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建立软件资产管理体系，遵照《软件库管理制度》执行，保障软件授权合规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3" w:name="_Toc30252"/>
      <w:bookmarkStart w:id="54" w:name="heading_21"/>
      <w:r>
        <w:t>技术管理</w:t>
      </w:r>
      <w:bookmarkEnd w:id="53"/>
      <w:bookmarkEnd w:id="54"/>
    </w:p>
    <w:p>
      <w:pPr>
        <w:pStyle w:val="a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7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bookmarkStart w:id="55" w:name="_Toc26668"/>
      <w:r>
        <w:rPr>
          <w:rFonts w:hint="default"/>
          <w:lang w:val="en-US" w:eastAsia="zh-CN"/>
        </w:rPr>
        <w:t xml:space="preserve"> </w:t>
      </w:r>
      <w:r>
        <w:t>技术管理要求表</w:t>
      </w:r>
      <w:bookmarkEnd w:id="55"/>
    </w:p>
    <w:tbl>
      <w:tblPr>
        <w:tblStyle w:val="TableNormal"/>
        <w:tblW w:w="82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434"/>
        <w:gridCol w:w="6846"/>
      </w:tblGrid>
      <w:tr>
        <w:tblPrEx>
          <w:tblW w:w="82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434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子项</w:t>
            </w:r>
          </w:p>
        </w:tc>
        <w:tc>
          <w:tcPr>
            <w:tcW w:w="6846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内容要求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43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技术规划</w:t>
            </w:r>
          </w:p>
        </w:tc>
        <w:tc>
          <w:tcPr>
            <w:tcW w:w="684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结合ITSS要求和运维现状，制定技术研发规划，重点布局智能化运维、安全防护等领域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43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研发管理</w:t>
            </w:r>
          </w:p>
        </w:tc>
        <w:tc>
          <w:tcPr>
            <w:tcW w:w="684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对于大型研发项目，由研发部提交申请，经公司评估后统筹协调资源，并严格遵照《技术研发管理制度》执行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43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成果转化</w:t>
            </w:r>
          </w:p>
        </w:tc>
        <w:tc>
          <w:tcPr>
            <w:tcW w:w="684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建立技术成果转化机制，将研发成果（如自研工具、优化脚本）及时应用于实际运维服务中，提升服务效率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6" w:name="_Toc14728"/>
      <w:bookmarkStart w:id="57" w:name="heading_22"/>
      <w:r>
        <w:t>过程管理</w:t>
      </w:r>
      <w:bookmarkEnd w:id="56"/>
      <w:bookmarkEnd w:id="57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严格遵照公司运维服务管理体系过程制度文件及记录模板开展工作，确保事件、问题、变更、发布、配置、服务级别等管理流程相互关联、协同运作。所有过程活动均需在工单系统中留痕。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8" w:name="heading_23"/>
      <w:bookmarkStart w:id="59" w:name="_Toc17288"/>
      <w:r>
        <w:t>客户管理</w:t>
      </w:r>
      <w:bookmarkEnd w:id="58"/>
      <w:bookmarkEnd w:id="59"/>
    </w:p>
    <w:p>
      <w:pPr>
        <w:pStyle w:val="a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7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bookmarkStart w:id="60" w:name="_Toc21464"/>
      <w:r>
        <w:rPr>
          <w:rFonts w:hint="default"/>
          <w:lang w:val="en-US" w:eastAsia="zh-CN"/>
        </w:rPr>
        <w:t xml:space="preserve"> </w:t>
      </w:r>
      <w:r>
        <w:t>客户管理要求表</w:t>
      </w:r>
      <w:bookmarkEnd w:id="60"/>
    </w:p>
    <w:tbl>
      <w:tblPr>
        <w:tblStyle w:val="TableNormal"/>
        <w:tblW w:w="82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938"/>
        <w:gridCol w:w="6342"/>
      </w:tblGrid>
      <w:tr>
        <w:tblPrEx>
          <w:tblW w:w="82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938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沟通类型</w:t>
            </w:r>
          </w:p>
        </w:tc>
        <w:tc>
          <w:tcPr>
            <w:tcW w:w="6342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内容要求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93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例行沟通</w:t>
            </w:r>
          </w:p>
        </w:tc>
        <w:tc>
          <w:tcPr>
            <w:tcW w:w="634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通过文档沟通（周报、月报）和会议沟通（项目例会、汇报会）建立常态化沟通机制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93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非例行沟通</w:t>
            </w:r>
          </w:p>
        </w:tc>
        <w:tc>
          <w:tcPr>
            <w:tcW w:w="634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在遇到突发问题、需求变更时，及时通过电话、邮件、现场交流等方式快速协调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93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响应支持沟通</w:t>
            </w:r>
          </w:p>
        </w:tc>
        <w:tc>
          <w:tcPr>
            <w:tcW w:w="634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服务台作为统一报障接口，需在受理时告知客户响应时间；处理过程中及时同步进展；解决后进行回访确认满意度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1" w:name="heading_24"/>
      <w:bookmarkStart w:id="62" w:name="_Toc32382"/>
      <w:r>
        <w:t>质量管理</w:t>
      </w:r>
      <w:bookmarkEnd w:id="61"/>
      <w:bookmarkEnd w:id="62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由运维项目经理全面负责，遵循公司质量管理相关制度。质量部进行监督和抽查，内容涵盖：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SLA达成评估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客户满意度调查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风险管控检查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文档合规性审核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运维项目经理需定期向公司及客户汇报质量管理工作。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3" w:name="heading_25"/>
      <w:bookmarkStart w:id="64" w:name="_Toc811"/>
      <w:r>
        <w:t>预算管理</w:t>
      </w:r>
      <w:bookmarkEnd w:id="63"/>
      <w:bookmarkEnd w:id="64"/>
    </w:p>
    <w:p>
      <w:pPr>
        <w:pStyle w:val="a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7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eastAsia"/>
          <w:lang w:val="en-US" w:eastAsia="zh-CN"/>
        </w:rPr>
        <w:fldChar w:fldCharType="end"/>
      </w:r>
      <w:bookmarkStart w:id="65" w:name="_Toc4613"/>
      <w:r>
        <w:rPr>
          <w:rFonts w:hint="default"/>
          <w:lang w:val="en-US" w:eastAsia="zh-CN"/>
        </w:rPr>
        <w:t xml:space="preserve"> </w:t>
      </w:r>
      <w:r>
        <w:t>预算管理要求表</w:t>
      </w:r>
      <w:bookmarkEnd w:id="65"/>
    </w:p>
    <w:tbl>
      <w:tblPr>
        <w:tblStyle w:val="TableNormal"/>
        <w:tblW w:w="82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140"/>
        <w:gridCol w:w="7140"/>
      </w:tblGrid>
      <w:tr>
        <w:tblPrEx>
          <w:tblW w:w="82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阶段</w:t>
            </w:r>
          </w:p>
        </w:tc>
        <w:tc>
          <w:tcPr>
            <w:tcW w:w="7140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内容要求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预算编制</w:t>
            </w:r>
          </w:p>
        </w:tc>
        <w:tc>
          <w:tcPr>
            <w:tcW w:w="714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运维项目经理结合服务合同、交付计划，编制项目年度、季度预算，涵盖人员成本、备件采购、工具运维、培训、差旅等所有相关费用，提交人力部（财务）审核。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预算审核与审批</w:t>
            </w:r>
          </w:p>
        </w:tc>
        <w:tc>
          <w:tcPr>
            <w:tcW w:w="714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人力部（财务）对预算的合理性、合规性进行审核，审核通过后提交公司管理层审批，审批通过后正式生效执行。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预算执行与监控</w:t>
            </w:r>
          </w:p>
        </w:tc>
        <w:tc>
          <w:tcPr>
            <w:tcW w:w="714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运维项目经理严格按照审批后的预算执行各项支出，每月统计预算执行情况，对比实际支出与预算标准，形成《预算执行报告》，同步至人力部（财务）及公司管理层。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预算调整</w:t>
            </w:r>
          </w:p>
        </w:tc>
        <w:tc>
          <w:tcPr>
            <w:tcW w:w="714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因项目需求变更、市场价格波动等原因需调整预算的，由运维项目经理提交《预算调整申请》，说明调整原因、调整金额及依据，经人力部（财务）审核、公司管理层审批后，方可调整执行。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14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预算复盘</w:t>
            </w:r>
          </w:p>
        </w:tc>
        <w:tc>
          <w:tcPr>
            <w:tcW w:w="714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项目每季度及项目结束后，运维项目经理联合人力部（财务）开展预算复盘，分析预算偏差原因，总结预算管理经验，形成《预算复盘报告》，为后续项目预算编制提供参考。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6" w:name="heading_1"/>
      <w:bookmarkStart w:id="67" w:name="_Toc21285"/>
      <w:r>
        <w:t>风险控制管理</w:t>
      </w:r>
      <w:bookmarkEnd w:id="66"/>
      <w:bookmarkEnd w:id="67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服务交付全流程需建立全面风险管控体系，遵循“预防为主、防治结合、全程管控”的原则，确保风险可识别、可评估、可控制、可追溯，保障服务交付顺利推进。</w:t>
      </w:r>
    </w:p>
    <w:p>
      <w:pPr>
        <w:pStyle w:val="a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7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6</w:t>
      </w:r>
      <w:r>
        <w:rPr>
          <w:rFonts w:hint="eastAsia"/>
          <w:lang w:val="en-US" w:eastAsia="zh-CN"/>
        </w:rPr>
        <w:fldChar w:fldCharType="end"/>
      </w:r>
      <w:bookmarkStart w:id="68" w:name="_Toc17491"/>
      <w:r>
        <w:rPr>
          <w:rFonts w:hint="default"/>
          <w:lang w:val="en-US" w:eastAsia="zh-CN"/>
        </w:rPr>
        <w:t xml:space="preserve"> </w:t>
      </w:r>
      <w:r>
        <w:t>风险控制管理要求表</w:t>
      </w:r>
      <w:bookmarkEnd w:id="68"/>
    </w:p>
    <w:tbl>
      <w:tblPr>
        <w:tblStyle w:val="TableNormal"/>
        <w:tblW w:w="82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422"/>
        <w:gridCol w:w="6858"/>
      </w:tblGrid>
      <w:tr>
        <w:tblPrEx>
          <w:tblW w:w="82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422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管理环节</w:t>
            </w:r>
          </w:p>
        </w:tc>
        <w:tc>
          <w:tcPr>
            <w:tcW w:w="6858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内容要求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42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风险识别</w:t>
            </w:r>
          </w:p>
        </w:tc>
        <w:tc>
          <w:tcPr>
            <w:tcW w:w="685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交付策划阶段，由运维项目经理牵头，组织服务团队全面识别技术风险、资源风险、人员风险、客户风险、安全风险、合规风险等，建立《风险识别台账》，明确风险描述、潜在影响范围及触发条件。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42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风险评估</w:t>
            </w:r>
          </w:p>
        </w:tc>
        <w:tc>
          <w:tcPr>
            <w:tcW w:w="685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采用定性与定量相结合的方式，对识别的风险进行评估，划分风险等级（高、中、低），分析风险发生概率及可能造成的损失，形成《风险评估报告》，明确重点管控风险。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42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风险应对</w:t>
            </w:r>
          </w:p>
        </w:tc>
        <w:tc>
          <w:tcPr>
            <w:tcW w:w="685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针对不同等级的风险制定对应应对措施：高风险项制定专项防控方案及应急处置预案；中风险项明确管控责任人及防控措施；低风险项定期监控，建立风险应对措施台账，确保措施可落地、可执行。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42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风险监控</w:t>
            </w:r>
          </w:p>
        </w:tc>
        <w:tc>
          <w:tcPr>
            <w:tcW w:w="685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交付实施全过程中，运维项目经理定期（每月）检查风险管控措施执行情况，更新《风险识别台账》，跟踪风险变化趋势，对新增风险及时识别、评估并制定应对措施，形成《风险监控报告》。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422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风险复盘</w:t>
            </w:r>
          </w:p>
        </w:tc>
        <w:tc>
          <w:tcPr>
            <w:tcW w:w="685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项目每季度及项目结束后，组织风险复盘会议，总结风险管控经验教训，分析风险应对措施的有效性，优化风险管控流程及方法，形成《风险复盘报告》，纳入公司知识库。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9" w:name="_Toc3366"/>
      <w:r>
        <w:t>应急管理</w:t>
      </w:r>
      <w:bookmarkEnd w:id="69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为有效应对服务交付过程中突发的重大故障、安全事件、自然灾害等突发事件，最大限度降低事件对服务交付质量、客户业务及公司声誉的影响，建立标准化应急管理体系。</w:t>
      </w:r>
    </w:p>
    <w:p>
      <w:pPr>
        <w:pStyle w:val="a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7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7</w:t>
      </w:r>
      <w:r>
        <w:rPr>
          <w:rFonts w:hint="eastAsia"/>
          <w:lang w:val="en-US" w:eastAsia="zh-CN"/>
        </w:rPr>
        <w:fldChar w:fldCharType="end"/>
      </w:r>
      <w:bookmarkStart w:id="70" w:name="_Toc10769"/>
      <w:r>
        <w:rPr>
          <w:rFonts w:hint="default"/>
          <w:lang w:val="en-US" w:eastAsia="zh-CN"/>
        </w:rPr>
        <w:t xml:space="preserve"> </w:t>
      </w:r>
      <w:r>
        <w:t>应急管理要求表</w:t>
      </w:r>
      <w:bookmarkEnd w:id="70"/>
    </w:p>
    <w:tbl>
      <w:tblPr>
        <w:tblStyle w:val="TableNormal"/>
        <w:tblW w:w="82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2644"/>
        <w:gridCol w:w="5636"/>
      </w:tblGrid>
      <w:tr>
        <w:tblPrEx>
          <w:tblW w:w="82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644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管理环节</w:t>
            </w:r>
          </w:p>
        </w:tc>
        <w:tc>
          <w:tcPr>
            <w:tcW w:w="5636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内容要求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64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应急预案编制</w:t>
            </w:r>
          </w:p>
        </w:tc>
        <w:tc>
          <w:tcPr>
            <w:tcW w:w="563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结合风险识别结果，编制专项应急预案，涵盖重大故障应急、数据安全应急、人员应急、自然灾害应急等，明确应急组织架构、应急响应流程、责任分工、处置措施、应急资源及回退方案，经公司管理层审批后生效。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64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应急组织与职责</w:t>
            </w:r>
          </w:p>
        </w:tc>
        <w:tc>
          <w:tcPr>
            <w:tcW w:w="563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成立应急领导小组（由公司管理层、运维部、研发部、质量部组成），明确组长、副组长及各成员职责；应急执行小组由运维项目经理、一线/二线/三线工程师组成，负责应急事件的现场处置、信息上报及后续跟进。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64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应急响应与处置</w:t>
            </w:r>
          </w:p>
        </w:tc>
        <w:tc>
          <w:tcPr>
            <w:tcW w:w="563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突发事件发生后，应急执行小组立即启动对应应急预案，按照应急流程开展处置工作，及时控制事态发展；同步向应急领导小组及客户上报事件进展、处置措施及预计恢复时间，确保信息传递及时、准确。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64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应急演练</w:t>
            </w:r>
          </w:p>
        </w:tc>
        <w:tc>
          <w:tcPr>
            <w:tcW w:w="563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每半年组织一次应急演练，针对重点应急预案开展实战化演练，检验应急预案的可行性、应急团队的处置能力及应急资源的可用性，演练后形成《应急演练报告》，针对存在的问题优化应急预案及处置流程。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64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应急总结与改进</w:t>
            </w:r>
          </w:p>
        </w:tc>
        <w:tc>
          <w:tcPr>
            <w:tcW w:w="56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应急事件处置完成后，应急领导小组组织召开总结会议，分析事件原因、处置过程中的问题及经验教训，优化应急预案、应急措施及应急管理流程，形成《应急处置总结报告》，纳入服务改进体系。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1" w:name="_Toc21894"/>
      <w:r>
        <w:t>关键绩效指标（KPI）</w:t>
      </w:r>
      <w:bookmarkEnd w:id="3"/>
      <w:bookmarkEnd w:id="71"/>
    </w:p>
    <w:p>
      <w:pPr>
        <w:pStyle w:val="a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bookmarkStart w:id="72" w:name="heading_30"/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8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73" w:name="_Toc13157"/>
      <w:r>
        <w:rPr>
          <w:rFonts w:hint="default"/>
          <w:lang w:val="en-US" w:eastAsia="zh-CN"/>
        </w:rPr>
        <w:t xml:space="preserve"> </w:t>
      </w:r>
      <w:r>
        <w:t>KPI指标表</w:t>
      </w:r>
      <w:bookmarkEnd w:id="72"/>
      <w:bookmarkEnd w:id="73"/>
    </w:p>
    <w:tbl>
      <w:tblPr>
        <w:tblStyle w:val="TableNormal"/>
        <w:tblW w:w="82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885"/>
        <w:gridCol w:w="964"/>
        <w:gridCol w:w="3020"/>
        <w:gridCol w:w="1205"/>
        <w:gridCol w:w="1206"/>
      </w:tblGrid>
      <w:tr>
        <w:tblPrEx>
          <w:tblW w:w="82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885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绩效指标</w:t>
            </w:r>
          </w:p>
        </w:tc>
        <w:tc>
          <w:tcPr>
            <w:tcW w:w="964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目标值</w:t>
            </w:r>
          </w:p>
        </w:tc>
        <w:tc>
          <w:tcPr>
            <w:tcW w:w="3019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衡量方式</w:t>
            </w:r>
          </w:p>
        </w:tc>
        <w:tc>
          <w:tcPr>
            <w:tcW w:w="120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考核频度</w:t>
            </w:r>
          </w:p>
        </w:tc>
        <w:tc>
          <w:tcPr>
            <w:tcW w:w="120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责任部门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88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eastAsia="宋体"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交付通过率</w:t>
            </w:r>
          </w:p>
        </w:tc>
        <w:tc>
          <w:tcPr>
            <w:tcW w:w="96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eastAsia="宋体" w:hint="default"/>
                <w:lang w:val="en-US" w:eastAsia="zh-CN"/>
              </w:rPr>
            </w:pPr>
            <w:r>
              <w:t>≥</w:t>
            </w:r>
            <w:r>
              <w:rPr>
                <w:rFonts w:hint="eastAsia"/>
                <w:lang w:val="en-US" w:eastAsia="zh-CN"/>
              </w:rPr>
              <w:t>95%</w:t>
            </w:r>
          </w:p>
        </w:tc>
        <w:tc>
          <w:tcPr>
            <w:tcW w:w="301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eastAsia="宋体" w:hint="default"/>
                <w:lang w:val="en-US" w:eastAsia="zh-CN"/>
              </w:rPr>
            </w:pPr>
            <w:bookmarkStart w:id="74" w:name="_GoBack"/>
            <w:r>
              <w:rPr>
                <w:rFonts w:hint="default"/>
                <w:lang w:val="en-US" w:eastAsia="zh-CN"/>
              </w:rPr>
              <w:t>（一次交付成功项目数 / 总交付项目数）× 100%</w:t>
            </w:r>
            <w:bookmarkEnd w:id="74"/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年度</w:t>
            </w: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运维部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5" w:name="_Toc31919"/>
      <w:bookmarkStart w:id="76" w:name="heading_31"/>
      <w:r>
        <w:t>相关文件</w:t>
      </w:r>
      <w:bookmarkEnd w:id="75"/>
      <w:bookmarkEnd w:id="76"/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《服务台管理制度》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《运维服务工具管理制度》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《备件库管理制度》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《知识库管理制度》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《软件库管理制度》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《技术研发管理制度》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《质量管理管理制度》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《财务预算管理制度》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《风险管理制度》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《应急管理制度》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《人员岗位职责说明书》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《ITSS信息技术服务运行维护标准符合性管理文件》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7" w:name="_Toc7176"/>
      <w:bookmarkStart w:id="78" w:name="heading_32"/>
      <w:r>
        <w:t>输出的文件及记录</w:t>
      </w:r>
      <w:bookmarkEnd w:id="77"/>
      <w:bookmarkEnd w:id="78"/>
    </w:p>
    <w:p>
      <w:pPr>
        <w:pStyle w:val="a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bookmarkStart w:id="79" w:name="heading_33"/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10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80" w:name="_Toc23181"/>
      <w:r>
        <w:rPr>
          <w:rFonts w:hint="default"/>
          <w:lang w:val="en-US" w:eastAsia="zh-CN"/>
        </w:rPr>
        <w:t xml:space="preserve"> </w:t>
      </w:r>
      <w:r>
        <w:t>输出文件记录表</w:t>
      </w:r>
      <w:bookmarkEnd w:id="79"/>
      <w:bookmarkEnd w:id="80"/>
    </w:p>
    <w:tbl>
      <w:tblPr>
        <w:tblStyle w:val="TableNormal"/>
        <w:tblW w:w="82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0" w:type="dxa"/>
          <w:left w:w="10" w:type="dxa"/>
          <w:bottom w:w="0" w:type="dxa"/>
          <w:right w:w="10" w:type="dxa"/>
        </w:tblCellMar>
      </w:tblPr>
      <w:tblGrid>
        <w:gridCol w:w="3309"/>
        <w:gridCol w:w="1758"/>
        <w:gridCol w:w="3213"/>
      </w:tblGrid>
      <w:tr>
        <w:tblPrEx>
          <w:tblW w:w="82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3309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文件/记录名称</w:t>
            </w:r>
          </w:p>
        </w:tc>
        <w:tc>
          <w:tcPr>
            <w:tcW w:w="1758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生成环节</w:t>
            </w:r>
          </w:p>
        </w:tc>
        <w:tc>
          <w:tcPr>
            <w:tcW w:w="3213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责任部门/人员</w:t>
            </w:r>
          </w:p>
        </w:tc>
      </w:tr>
      <w:tr>
        <w:tblPrEx>
          <w:tblW w:w="8280" w:type="dxa"/>
          <w:jc w:val="center"/>
          <w:shd w:val="clear" w:color="auto" w:fill="auto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330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项目交底会议纪要</w:t>
            </w:r>
          </w:p>
        </w:tc>
        <w:tc>
          <w:tcPr>
            <w:tcW w:w="175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交付策划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运维项目经理</w:t>
            </w:r>
          </w:p>
        </w:tc>
      </w:tr>
      <w:tr>
        <w:tblPrEx>
          <w:tblW w:w="8280" w:type="dxa"/>
          <w:jc w:val="center"/>
          <w:shd w:val="clear" w:color="auto" w:fill="auto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330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项目服务总计划</w:t>
            </w:r>
          </w:p>
        </w:tc>
        <w:tc>
          <w:tcPr>
            <w:tcW w:w="175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交付策划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运维项目经理</w:t>
            </w:r>
          </w:p>
        </w:tc>
      </w:tr>
      <w:tr>
        <w:tblPrEx>
          <w:tblW w:w="8280" w:type="dxa"/>
          <w:jc w:val="center"/>
          <w:shd w:val="clear" w:color="auto" w:fill="auto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330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运维服务交付计划</w:t>
            </w:r>
          </w:p>
        </w:tc>
        <w:tc>
          <w:tcPr>
            <w:tcW w:w="175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交付策划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运维项目经理</w:t>
            </w:r>
          </w:p>
        </w:tc>
      </w:tr>
      <w:tr>
        <w:tblPrEx>
          <w:tblW w:w="8280" w:type="dxa"/>
          <w:jc w:val="center"/>
          <w:shd w:val="clear" w:color="auto" w:fill="auto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330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系统配置信息台账</w:t>
            </w:r>
          </w:p>
        </w:tc>
        <w:tc>
          <w:tcPr>
            <w:tcW w:w="175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交付策划/实施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运维工程师</w:t>
            </w:r>
          </w:p>
        </w:tc>
      </w:tr>
      <w:tr>
        <w:tblPrEx>
          <w:tblW w:w="8280" w:type="dxa"/>
          <w:jc w:val="center"/>
          <w:shd w:val="clear" w:color="auto" w:fill="auto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330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风险管理计划</w:t>
            </w:r>
          </w:p>
        </w:tc>
        <w:tc>
          <w:tcPr>
            <w:tcW w:w="175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交付策划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运维项目经理</w:t>
            </w:r>
          </w:p>
        </w:tc>
      </w:tr>
      <w:tr>
        <w:tblPrEx>
          <w:tblW w:w="8280" w:type="dxa"/>
          <w:jc w:val="center"/>
          <w:shd w:val="clear" w:color="auto" w:fill="auto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330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例行操作工作计划</w:t>
            </w:r>
          </w:p>
        </w:tc>
        <w:tc>
          <w:tcPr>
            <w:tcW w:w="175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交付实施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运维工程师</w:t>
            </w:r>
          </w:p>
        </w:tc>
      </w:tr>
      <w:tr>
        <w:tblPrEx>
          <w:tblW w:w="8280" w:type="dxa"/>
          <w:jc w:val="center"/>
          <w:shd w:val="clear" w:color="auto" w:fill="auto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330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工单记录（受理/处理/闭环）</w:t>
            </w:r>
          </w:p>
        </w:tc>
        <w:tc>
          <w:tcPr>
            <w:tcW w:w="175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交付实施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服务台专员/运维工程师</w:t>
            </w:r>
          </w:p>
        </w:tc>
      </w:tr>
      <w:tr>
        <w:tblPrEx>
          <w:tblW w:w="8280" w:type="dxa"/>
          <w:jc w:val="center"/>
          <w:shd w:val="clear" w:color="auto" w:fill="auto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330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巡检报告/备份记录</w:t>
            </w:r>
          </w:p>
        </w:tc>
        <w:tc>
          <w:tcPr>
            <w:tcW w:w="175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交付实施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运维工程师</w:t>
            </w:r>
          </w:p>
        </w:tc>
      </w:tr>
      <w:tr>
        <w:tblPrEx>
          <w:tblW w:w="8280" w:type="dxa"/>
          <w:jc w:val="center"/>
          <w:shd w:val="clear" w:color="auto" w:fill="auto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330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服务周报/月报/季报</w:t>
            </w:r>
          </w:p>
        </w:tc>
        <w:tc>
          <w:tcPr>
            <w:tcW w:w="175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交付实施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运维项目经理</w:t>
            </w:r>
          </w:p>
        </w:tc>
      </w:tr>
      <w:tr>
        <w:tblPrEx>
          <w:tblW w:w="8280" w:type="dxa"/>
          <w:jc w:val="center"/>
          <w:shd w:val="clear" w:color="auto" w:fill="auto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330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自查报告</w:t>
            </w:r>
          </w:p>
        </w:tc>
        <w:tc>
          <w:tcPr>
            <w:tcW w:w="175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交付检查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运维项目经理</w:t>
            </w:r>
          </w:p>
        </w:tc>
      </w:tr>
      <w:tr>
        <w:tblPrEx>
          <w:tblW w:w="8280" w:type="dxa"/>
          <w:jc w:val="center"/>
          <w:shd w:val="clear" w:color="auto" w:fill="auto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330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交付检查报告</w:t>
            </w:r>
          </w:p>
        </w:tc>
        <w:tc>
          <w:tcPr>
            <w:tcW w:w="175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交付检查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质量部</w:t>
            </w:r>
          </w:p>
        </w:tc>
      </w:tr>
      <w:tr>
        <w:tblPrEx>
          <w:tblW w:w="8280" w:type="dxa"/>
          <w:jc w:val="center"/>
          <w:shd w:val="clear" w:color="auto" w:fill="auto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330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服务改进报告</w:t>
            </w:r>
          </w:p>
        </w:tc>
        <w:tc>
          <w:tcPr>
            <w:tcW w:w="175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交付改进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质量部/运维项目经理</w:t>
            </w:r>
          </w:p>
        </w:tc>
      </w:tr>
      <w:tr>
        <w:tblPrEx>
          <w:tblW w:w="8280" w:type="dxa"/>
          <w:jc w:val="center"/>
          <w:shd w:val="clear" w:color="auto" w:fill="auto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330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预算编制/执行/复盘报告</w:t>
            </w:r>
          </w:p>
        </w:tc>
        <w:tc>
          <w:tcPr>
            <w:tcW w:w="175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全流程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运维项目经理/人力部</w:t>
            </w:r>
          </w:p>
        </w:tc>
      </w:tr>
      <w:tr>
        <w:tblPrEx>
          <w:tblW w:w="8280" w:type="dxa"/>
          <w:jc w:val="center"/>
          <w:shd w:val="clear" w:color="auto" w:fill="auto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330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风险识别/评估/监控/复盘报告</w:t>
            </w:r>
          </w:p>
        </w:tc>
        <w:tc>
          <w:tcPr>
            <w:tcW w:w="175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全流程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运维项目经理</w:t>
            </w:r>
          </w:p>
        </w:tc>
      </w:tr>
      <w:tr>
        <w:tblPrEx>
          <w:tblW w:w="8280" w:type="dxa"/>
          <w:jc w:val="center"/>
          <w:shd w:val="clear" w:color="auto" w:fill="auto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330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应急预案/演练/处置总结报告</w:t>
            </w:r>
          </w:p>
        </w:tc>
        <w:tc>
          <w:tcPr>
            <w:tcW w:w="175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全流程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应急领导小组/运维项目经理</w:t>
            </w:r>
          </w:p>
        </w:tc>
      </w:tr>
      <w:tr>
        <w:tblPrEx>
          <w:tblW w:w="8280" w:type="dxa"/>
          <w:jc w:val="center"/>
          <w:shd w:val="clear" w:color="auto" w:fill="auto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3309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客户满意度调查记录</w:t>
            </w:r>
          </w:p>
        </w:tc>
        <w:tc>
          <w:tcPr>
            <w:tcW w:w="175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交付检查/实施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质量部/运维项目经理</w:t>
            </w:r>
          </w:p>
        </w:tc>
      </w:tr>
    </w:tbl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F404E3C6"/>
    <w:multiLevelType w:val="singleLevel"/>
    <w:tmpl w:val="F404E3C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11B7902D"/>
    <w:multiLevelType w:val="singleLevel"/>
    <w:tmpl w:val="11B7902D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 w:qFormat="1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 w:qFormat="1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ableofFigures">
    <w:name w:val="table of figures"/>
    <w:basedOn w:val="Normal"/>
    <w:next w:val="Normal"/>
    <w:qFormat/>
    <w:pPr>
      <w:ind w:hanging="200" w:leftChars="200" w:hangingChars="200"/>
    </w:p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HTMLPreformatted">
    <w:name w:val="HTML Preformatted"/>
    <w:basedOn w:val="Normal"/>
    <w:qFormat/>
    <w:rPr>
      <w:rFonts w:ascii="Courier New" w:hAnsi="Courier New"/>
      <w:sz w:val="20"/>
    </w:r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文档修订信息"/>
    <w:basedOn w:val="Normal"/>
    <w:qFormat/>
    <w:pPr>
      <w:widowControl w:val="0"/>
      <w:ind w:firstLine="470" w:firstLineChars="200"/>
      <w:jc w:val="center"/>
    </w:pPr>
    <w:rPr>
      <w:rFonts w:ascii="Arial" w:hAnsi="Arial" w:hint="eastAsia"/>
      <w:b/>
      <w:bCs/>
      <w:sz w:val="24"/>
      <w:lang w:eastAsia="zh-CN"/>
    </w:rPr>
  </w:style>
  <w:style w:type="paragraph" w:customStyle="1" w:styleId="a0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1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2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2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2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2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3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4">
    <w:name w:val="柴_正文_无缩进"/>
    <w:basedOn w:val="Normal"/>
    <w:link w:val="Char0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2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0">
    <w:name w:val="柴_正文_无缩进 Char"/>
    <w:link w:val="a4"/>
    <w:qFormat/>
    <w:rPr>
      <w:rFonts w:ascii="Arial" w:hAnsi="Arial"/>
      <w:sz w:val="24"/>
      <w:lang w:eastAsia="zh-CN"/>
    </w:r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  <w:style w:type="character" w:customStyle="1" w:styleId="Char1">
    <w:name w:val="柴_题注 Char"/>
    <w:link w:val="a5"/>
    <w:qFormat/>
  </w:style>
  <w:style w:type="paragraph" w:customStyle="1" w:styleId="a5">
    <w:name w:val="柴_题注"/>
    <w:basedOn w:val="HTMLPreformatted"/>
    <w:link w:val="Char1"/>
    <w:qFormat/>
    <w:pPr>
      <w:pBdr>
        <w:top w:val="nil"/>
        <w:left w:val="nil"/>
        <w:bottom w:val="nil"/>
        <w:right w:val="nil"/>
      </w:pBd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 w:val="0"/>
      <w:spacing w:line="264" w:lineRule="atLeas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14</Pages>
  <Words>2250</Words>
  <Characters>2468</Characters>
  <Application>Microsoft Office Word</Application>
  <DocSecurity>0</DocSecurity>
  <Lines>0</Lines>
  <Paragraphs>0</Paragraphs>
  <ScaleCrop>false</ScaleCrop>
  <Company/>
  <LinksUpToDate>false</LinksUpToDate>
  <CharactersWithSpaces>2680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郝宇</cp:lastModifiedBy>
  <cp:revision>0</cp:revision>
  <dcterms:created xsi:type="dcterms:W3CDTF">2026-03-11T00:26:00Z</dcterms:created>
  <dcterms:modified xsi:type="dcterms:W3CDTF">2026-04-06T21:16:27Z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