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C0C33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557964C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运维服务应急管理制度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E23C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C10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01E7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SFKJ-ITSS-1001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5F8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700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332FA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74B2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5770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7BF84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E0DB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25F64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5E41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7F8E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D345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07C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5B3D9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F11F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D3E0A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FB5A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046C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146D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DECE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6F0A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5AE9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9D225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3DEECC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DF42A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4DD50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6CCB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5E1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7B4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12E9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2122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A324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DC53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AD9F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FF1C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AFD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3260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CDFB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4C82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350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5EC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537F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051E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6EA5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E1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D3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5131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E238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C5C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FDC34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E23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D8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EB56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3CA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1F0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48B339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710289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5914E4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_Toc26617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_Toc26617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BFFA70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_Toc31201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_Toc31201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E2512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_Toc10686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术语定义</w:t>
          </w:r>
          <w:r>
            <w:tab/>
          </w:r>
          <w:r>
            <w:fldChar w:fldCharType="begin"/>
          </w:r>
          <w:r>
            <w:instrText xml:space="preserve"> PAGEREF _Toc10686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56530E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_Toc7325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应急管理原则</w:t>
          </w:r>
          <w:r>
            <w:tab/>
          </w:r>
          <w:r>
            <w:fldChar w:fldCharType="begin"/>
          </w:r>
          <w:r>
            <w:instrText xml:space="preserve"> PAGEREF _Toc7325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97A96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_Toc25354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应急管理流程</w:t>
          </w:r>
          <w:r>
            <w:tab/>
          </w:r>
          <w:r>
            <w:fldChar w:fldCharType="begin"/>
          </w:r>
          <w:r>
            <w:instrText xml:space="preserve"> PAGEREF _Toc25354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8E6202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_Toc32594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应急组织与职责</w:t>
          </w:r>
          <w:r>
            <w:tab/>
          </w:r>
          <w:r>
            <w:fldChar w:fldCharType="begin"/>
          </w:r>
          <w:r>
            <w:instrText xml:space="preserve"> PAGEREF _Toc32594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F4321F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_Toc13762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风险评估</w:t>
          </w:r>
          <w:r>
            <w:tab/>
          </w:r>
          <w:r>
            <w:fldChar w:fldCharType="begin"/>
          </w:r>
          <w:r>
            <w:instrText xml:space="preserve"> PAGEREF _Toc13762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AE49BC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_Toc8910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评估频次</w:t>
          </w:r>
          <w:r>
            <w:tab/>
          </w:r>
          <w:r>
            <w:fldChar w:fldCharType="begin"/>
          </w:r>
          <w:r>
            <w:instrText xml:space="preserve"> PAGEREF _Toc8910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9498BB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_Toc21510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评估内容</w:t>
          </w:r>
          <w:r>
            <w:tab/>
          </w:r>
          <w:r>
            <w:fldChar w:fldCharType="begin"/>
          </w:r>
          <w:r>
            <w:instrText xml:space="preserve"> PAGEREF _Toc21510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68E293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_Toc6901 </w:instrText>
          </w:r>
          <w:r>
            <w:fldChar w:fldCharType="separate"/>
          </w:r>
          <w:r>
            <w:rPr>
              <w:rFonts w:hint="default"/>
            </w:rPr>
            <w:t xml:space="preserve">5.2.3. </w:t>
          </w:r>
          <w:r>
            <w:t>评估方法</w:t>
          </w:r>
          <w:r>
            <w:tab/>
          </w:r>
          <w:r>
            <w:fldChar w:fldCharType="begin"/>
          </w:r>
          <w:r>
            <w:instrText xml:space="preserve"> PAGEREF _Toc6901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3CE62B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_Toc11087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应急预案管理</w:t>
          </w:r>
          <w:r>
            <w:tab/>
          </w:r>
          <w:r>
            <w:fldChar w:fldCharType="begin"/>
          </w:r>
          <w:r>
            <w:instrText xml:space="preserve"> PAGEREF _Toc11087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36833A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_Toc11263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预案编制要求</w:t>
          </w:r>
          <w:r>
            <w:tab/>
          </w:r>
          <w:r>
            <w:fldChar w:fldCharType="begin"/>
          </w:r>
          <w:r>
            <w:instrText xml:space="preserve"> PAGEREF _Toc11263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E14F5C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_Toc12584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预案审批</w:t>
          </w:r>
          <w:r>
            <w:tab/>
          </w:r>
          <w:r>
            <w:fldChar w:fldCharType="begin"/>
          </w:r>
          <w:r>
            <w:instrText xml:space="preserve"> PAGEREF _Toc12584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092B8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_Toc30382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预案发布与宣贯</w:t>
          </w:r>
          <w:r>
            <w:tab/>
          </w:r>
          <w:r>
            <w:fldChar w:fldCharType="begin"/>
          </w:r>
          <w:r>
            <w:instrText xml:space="preserve"> PAGEREF _Toc30382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E22F7C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_Toc9998 </w:instrText>
          </w:r>
          <w:r>
            <w:fldChar w:fldCharType="separate"/>
          </w:r>
          <w:r>
            <w:rPr>
              <w:rFonts w:hint="default"/>
            </w:rPr>
            <w:t xml:space="preserve">5.3.4. </w:t>
          </w:r>
          <w:r>
            <w:t>预案更新</w:t>
          </w:r>
          <w:r>
            <w:tab/>
          </w:r>
          <w:r>
            <w:fldChar w:fldCharType="begin"/>
          </w:r>
          <w:r>
            <w:instrText xml:space="preserve"> PAGEREF _Toc9998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98581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_Toc21319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应急响应流程</w:t>
          </w:r>
          <w:r>
            <w:tab/>
          </w:r>
          <w:r>
            <w:fldChar w:fldCharType="begin"/>
          </w:r>
          <w:r>
            <w:instrText xml:space="preserve"> PAGEREF _Toc21319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81881C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_Toc5632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监测与预警</w:t>
          </w:r>
          <w:r>
            <w:tab/>
          </w:r>
          <w:r>
            <w:fldChar w:fldCharType="begin"/>
          </w:r>
          <w:r>
            <w:instrText xml:space="preserve"> PAGEREF _Toc5632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44C471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_Toc14680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先期处置</w:t>
          </w:r>
          <w:r>
            <w:tab/>
          </w:r>
          <w:r>
            <w:fldChar w:fldCharType="begin"/>
          </w:r>
          <w:r>
            <w:instrText xml:space="preserve"> PAGEREF _Toc14680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95254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应急启动</w:t>
          </w:r>
          <w:r>
            <w:tab/>
          </w:r>
          <w:r>
            <w:fldChar w:fldCharType="begin"/>
          </w:r>
          <w:r>
            <w:instrText xml:space="preserve"> PAGEREF _Toc1978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205641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_Toc17030 </w:instrText>
          </w:r>
          <w:r>
            <w:fldChar w:fldCharType="separate"/>
          </w:r>
          <w:r>
            <w:rPr>
              <w:rFonts w:hint="default"/>
            </w:rPr>
            <w:t xml:space="preserve">5.4.4. </w:t>
          </w:r>
          <w:r>
            <w:t>应急处置</w:t>
          </w:r>
          <w:r>
            <w:tab/>
          </w:r>
          <w:r>
            <w:fldChar w:fldCharType="begin"/>
          </w:r>
          <w:r>
            <w:instrText xml:space="preserve"> PAGEREF _Toc17030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BDB90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_Toc29371 </w:instrText>
          </w:r>
          <w:r>
            <w:fldChar w:fldCharType="separate"/>
          </w:r>
          <w:r>
            <w:rPr>
              <w:rFonts w:hint="default"/>
            </w:rPr>
            <w:t xml:space="preserve">5.4.5. </w:t>
          </w:r>
          <w:r>
            <w:t>应急终止</w:t>
          </w:r>
          <w:r>
            <w:tab/>
          </w:r>
          <w:r>
            <w:fldChar w:fldCharType="begin"/>
          </w:r>
          <w:r>
            <w:instrText xml:space="preserve"> PAGEREF _Toc29371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5065B5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应急演练</w:t>
          </w:r>
          <w:r>
            <w:tab/>
          </w:r>
          <w:r>
            <w:fldChar w:fldCharType="begin"/>
          </w:r>
          <w:r>
            <w:instrText xml:space="preserve"> PAGEREF _Toc2302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45C0E9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_Toc14210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演练频次</w:t>
          </w:r>
          <w:r>
            <w:tab/>
          </w:r>
          <w:r>
            <w:fldChar w:fldCharType="begin"/>
          </w:r>
          <w:r>
            <w:instrText xml:space="preserve"> PAGEREF _Toc14210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5A9C3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_Toc26174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演练形式</w:t>
          </w:r>
          <w:r>
            <w:tab/>
          </w:r>
          <w:r>
            <w:fldChar w:fldCharType="begin"/>
          </w:r>
          <w:r>
            <w:instrText xml:space="preserve"> PAGEREF _Toc26174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16177A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_Toc16548 </w:instrText>
          </w:r>
          <w:r>
            <w:fldChar w:fldCharType="separate"/>
          </w:r>
          <w:r>
            <w:rPr>
              <w:rFonts w:hint="default"/>
            </w:rPr>
            <w:t xml:space="preserve">5.5.3. </w:t>
          </w:r>
          <w:r>
            <w:t>演练要求</w:t>
          </w:r>
          <w:r>
            <w:tab/>
          </w:r>
          <w:r>
            <w:fldChar w:fldCharType="begin"/>
          </w:r>
          <w:r>
            <w:instrText xml:space="preserve"> PAGEREF _Toc16548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97A4B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_Toc32078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总结改进</w:t>
          </w:r>
          <w:r>
            <w:tab/>
          </w:r>
          <w:r>
            <w:fldChar w:fldCharType="begin"/>
          </w:r>
          <w:r>
            <w:instrText xml:space="preserve"> PAGEREF _Toc32078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C1AC1A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_Toc9390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应急资源保障</w:t>
          </w:r>
          <w:r>
            <w:tab/>
          </w:r>
          <w:r>
            <w:fldChar w:fldCharType="begin"/>
          </w:r>
          <w:r>
            <w:instrText xml:space="preserve"> PAGEREF _Toc9390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935457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_Toc5029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关键绩效指标（KPI）</w:t>
          </w:r>
          <w:r>
            <w:tab/>
          </w:r>
          <w:r>
            <w:fldChar w:fldCharType="begin"/>
          </w:r>
          <w:r>
            <w:instrText xml:space="preserve"> PAGEREF _Toc5029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3C967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_Toc24555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记录与归档</w:t>
          </w:r>
          <w:r>
            <w:tab/>
          </w:r>
          <w:r>
            <w:fldChar w:fldCharType="begin"/>
          </w:r>
          <w:r>
            <w:instrText xml:space="preserve"> PAGEREF _Toc24555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678B47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_Toc5706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_Toc5706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7FAFAB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42D71E9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269CD64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bookmarkStart w:id="83" w:name="_GoBack"/>
      <w:bookmarkEnd w:id="83"/>
      <w:r>
        <w:fldChar w:fldCharType="begin"/>
      </w:r>
      <w:r>
        <w:instrText xml:space="preserve"> HYPERLINK \l _Toc22206 </w:instrText>
      </w:r>
      <w:r>
        <w:fldChar w:fldCharType="separate"/>
      </w:r>
      <w:r>
        <w:rPr>
          <w:rFonts w:hint="eastAsia"/>
          <w:lang w:val="en-US" w:eastAsia="zh-CN"/>
        </w:rPr>
        <w:t>表 2-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事件类型表</w:t>
      </w:r>
      <w:r>
        <w:tab/>
      </w:r>
      <w:r>
        <w:fldChar w:fldCharType="begin"/>
      </w:r>
      <w:r>
        <w:instrText xml:space="preserve"> PAGEREF _Toc22206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92A37A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_Toc29886 </w:instrText>
      </w:r>
      <w:r>
        <w:fldChar w:fldCharType="separate"/>
      </w:r>
      <w:r>
        <w:rPr>
          <w:rFonts w:hint="eastAsia"/>
          <w:lang w:val="en-US" w:eastAsia="zh-CN"/>
        </w:rPr>
        <w:t>表 3-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应急响应术语表</w:t>
      </w:r>
      <w:r>
        <w:tab/>
      </w:r>
      <w:r>
        <w:fldChar w:fldCharType="begin"/>
      </w:r>
      <w:r>
        <w:instrText xml:space="preserve"> PAGEREF _Toc29886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F42619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_Toc17467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应急管理原则表</w:t>
      </w:r>
      <w:r>
        <w:tab/>
      </w:r>
      <w:r>
        <w:fldChar w:fldCharType="begin"/>
      </w:r>
      <w:r>
        <w:instrText xml:space="preserve"> PAGEREF _Toc17467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22736B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_Toc12637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内部应急组织架构表</w:t>
      </w:r>
      <w:r>
        <w:tab/>
      </w:r>
      <w:r>
        <w:fldChar w:fldCharType="begin"/>
      </w:r>
      <w:r>
        <w:instrText xml:space="preserve"> PAGEREF _Toc12637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B62F19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_Toc12233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关键角色职责表</w:t>
      </w:r>
      <w:r>
        <w:tab/>
      </w:r>
      <w:r>
        <w:fldChar w:fldCharType="begin"/>
      </w:r>
      <w:r>
        <w:instrText xml:space="preserve"> PAGEREF _Toc12233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87068A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_Toc18465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外部相关方角色职责</w:t>
      </w:r>
      <w:r>
        <w:tab/>
      </w:r>
      <w:r>
        <w:fldChar w:fldCharType="begin"/>
      </w:r>
      <w:r>
        <w:instrText xml:space="preserve"> PAGEREF _Toc18465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D317BB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_Toc7811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风险评估频次表</w:t>
      </w:r>
      <w:r>
        <w:tab/>
      </w:r>
      <w:r>
        <w:fldChar w:fldCharType="begin"/>
      </w:r>
      <w:r>
        <w:instrText xml:space="preserve"> PAGEREF _Toc7811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7D4D12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_Toc8724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5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风险评估内容表</w:t>
      </w:r>
      <w:r>
        <w:tab/>
      </w:r>
      <w:r>
        <w:fldChar w:fldCharType="begin"/>
      </w:r>
      <w:r>
        <w:instrText xml:space="preserve"> PAGEREF _Toc8724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E79165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_Toc21982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6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应急预案编制要求表</w:t>
      </w:r>
      <w:r>
        <w:tab/>
      </w:r>
      <w:r>
        <w:fldChar w:fldCharType="begin"/>
      </w:r>
      <w:r>
        <w:instrText xml:space="preserve"> PAGEREF _Toc21982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54248A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_Toc25983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7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预案发布宣贯要求表</w:t>
      </w:r>
      <w:r>
        <w:tab/>
      </w:r>
      <w:r>
        <w:fldChar w:fldCharType="begin"/>
      </w:r>
      <w:r>
        <w:instrText xml:space="preserve"> PAGEREF _Toc25983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B859EB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_Toc3201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8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预案更新要求表</w:t>
      </w:r>
      <w:r>
        <w:tab/>
      </w:r>
      <w:r>
        <w:fldChar w:fldCharType="begin"/>
      </w:r>
      <w:r>
        <w:instrText xml:space="preserve"> PAGEREF _Toc3201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303676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_Toc19802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9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监测与预警要求表</w:t>
      </w:r>
      <w:r>
        <w:tab/>
      </w:r>
      <w:r>
        <w:fldChar w:fldCharType="begin"/>
      </w:r>
      <w:r>
        <w:instrText xml:space="preserve"> PAGEREF _Toc19802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BFAB8F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_Toc7511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10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先期处置要求表</w:t>
      </w:r>
      <w:r>
        <w:tab/>
      </w:r>
      <w:r>
        <w:fldChar w:fldCharType="begin"/>
      </w:r>
      <w:r>
        <w:instrText xml:space="preserve"> PAGEREF _Toc7511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13785F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_Toc5382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应急启动要求表</w:t>
      </w:r>
      <w:r>
        <w:tab/>
      </w:r>
      <w:r>
        <w:fldChar w:fldCharType="begin"/>
      </w:r>
      <w:r>
        <w:instrText xml:space="preserve"> PAGEREF _Toc5382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1145E1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_Toc28898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应急处置要求表</w:t>
      </w:r>
      <w:r>
        <w:tab/>
      </w:r>
      <w:r>
        <w:fldChar w:fldCharType="begin"/>
      </w:r>
      <w:r>
        <w:instrText xml:space="preserve"> PAGEREF _Toc28898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F8D178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_Toc19519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应急终止要求表</w:t>
      </w:r>
      <w:r>
        <w:tab/>
      </w:r>
      <w:r>
        <w:fldChar w:fldCharType="begin"/>
      </w:r>
      <w:r>
        <w:instrText xml:space="preserve"> PAGEREF _Toc19519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F3A0F9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_Toc4306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应急演练频次表</w:t>
      </w:r>
      <w:r>
        <w:tab/>
      </w:r>
      <w:r>
        <w:fldChar w:fldCharType="begin"/>
      </w:r>
      <w:r>
        <w:instrText xml:space="preserve"> PAGEREF _Toc4306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87599C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_Toc10060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15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应急演练形式表</w:t>
      </w:r>
      <w:r>
        <w:tab/>
      </w:r>
      <w:r>
        <w:fldChar w:fldCharType="begin"/>
      </w:r>
      <w:r>
        <w:instrText xml:space="preserve"> PAGEREF _Toc10060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97DDAC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_Toc6614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16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应急演练要求表</w:t>
      </w:r>
      <w:r>
        <w:tab/>
      </w:r>
      <w:r>
        <w:fldChar w:fldCharType="begin"/>
      </w:r>
      <w:r>
        <w:instrText xml:space="preserve"> PAGEREF _Toc6614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B106AE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_Toc8056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17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总结改进要求表</w:t>
      </w:r>
      <w:r>
        <w:tab/>
      </w:r>
      <w:r>
        <w:fldChar w:fldCharType="begin"/>
      </w:r>
      <w:r>
        <w:instrText xml:space="preserve"> PAGEREF _Toc8056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82EFF9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_Toc32690 </w:instrText>
      </w:r>
      <w:r>
        <w:fldChar w:fldCharType="separate"/>
      </w:r>
      <w:r>
        <w:rPr>
          <w:rFonts w:hint="eastAsia"/>
          <w:lang w:val="en-US" w:eastAsia="zh-CN"/>
        </w:rPr>
        <w:t>表 6-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应急资源保障表</w:t>
      </w:r>
      <w:r>
        <w:tab/>
      </w:r>
      <w:r>
        <w:fldChar w:fldCharType="begin"/>
      </w:r>
      <w:r>
        <w:instrText xml:space="preserve"> PAGEREF _Toc32690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122833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_Toc30662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KPI指标表</w:t>
      </w:r>
      <w:r>
        <w:tab/>
      </w:r>
      <w:r>
        <w:fldChar w:fldCharType="begin"/>
      </w:r>
      <w:r>
        <w:instrText xml:space="preserve"> PAGEREF _Toc30662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56C6A8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_Toc22418 </w:instrText>
      </w:r>
      <w:r>
        <w:fldChar w:fldCharType="separate"/>
      </w:r>
      <w:r>
        <w:rPr>
          <w:rFonts w:hint="eastAsia"/>
          <w:lang w:val="en-US" w:eastAsia="zh-CN"/>
        </w:rPr>
        <w:t>表 8-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记录归档要求表</w:t>
      </w:r>
      <w:r>
        <w:tab/>
      </w:r>
      <w:r>
        <w:fldChar w:fldCharType="begin"/>
      </w:r>
      <w:r>
        <w:instrText xml:space="preserve"> PAGEREF _Toc22418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ABA95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0D4CB9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D4E9E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6617"/>
      <w:r>
        <w:t>目的</w:t>
      </w:r>
      <w:bookmarkEnd w:id="1"/>
      <w:bookmarkEnd w:id="2"/>
    </w:p>
    <w:p w14:paraId="16B798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运维服务过程中突发事件的应急响应管理，建立统一、高效、有序的应急处理机制，确保在突发事件发生时能够快速响应、有效处置、最大限度降低对客户业务的影响，保障服务连续性，满足ITSS信息技术服务运行维护标准要求，特制定本制度。</w:t>
      </w:r>
    </w:p>
    <w:p w14:paraId="6E4730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31201"/>
      <w:r>
        <w:t>适用范围</w:t>
      </w:r>
      <w:bookmarkEnd w:id="3"/>
      <w:bookmarkEnd w:id="4"/>
    </w:p>
    <w:p w14:paraId="51ABA39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本制度适用于公司所有运维服务项目可能发生的各类突发事件，包括但不限于</w:t>
      </w:r>
      <w:r>
        <w:rPr>
          <w:rFonts w:hint="eastAsia"/>
          <w:lang w:val="en-US" w:eastAsia="zh-CN"/>
        </w:rPr>
        <w:t>以下内容</w:t>
      </w:r>
    </w:p>
    <w:p w14:paraId="6A2A5F4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2220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事件类型表</w:t>
      </w:r>
      <w:bookmarkEnd w:id="5"/>
    </w:p>
    <w:tbl>
      <w:tblPr>
        <w:tblStyle w:val="22"/>
        <w:tblW w:w="60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9"/>
        <w:gridCol w:w="4461"/>
      </w:tblGrid>
      <w:tr w14:paraId="559D7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7E63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事件类型</w:t>
            </w:r>
          </w:p>
        </w:tc>
        <w:tc>
          <w:tcPr>
            <w:tcW w:w="44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EA0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</w:tr>
      <w:tr w14:paraId="6283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BF8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系统故障</w:t>
            </w:r>
          </w:p>
        </w:tc>
        <w:tc>
          <w:tcPr>
            <w:tcW w:w="44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3DC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系统崩溃、应用服务中断</w:t>
            </w:r>
          </w:p>
        </w:tc>
      </w:tr>
      <w:tr w14:paraId="0B4446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829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数据问题</w:t>
            </w:r>
          </w:p>
        </w:tc>
        <w:tc>
          <w:tcPr>
            <w:tcW w:w="44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52AE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数据丢失或损坏</w:t>
            </w:r>
          </w:p>
        </w:tc>
      </w:tr>
      <w:tr w14:paraId="00DA53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0465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安全事件</w:t>
            </w:r>
          </w:p>
        </w:tc>
        <w:tc>
          <w:tcPr>
            <w:tcW w:w="44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D5B1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网络攻击、病毒爆发</w:t>
            </w:r>
          </w:p>
        </w:tc>
      </w:tr>
      <w:tr w14:paraId="2FD89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A079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</w:t>
            </w:r>
          </w:p>
        </w:tc>
        <w:tc>
          <w:tcPr>
            <w:tcW w:w="44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035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服务器、存储、网络设备故障</w:t>
            </w:r>
          </w:p>
        </w:tc>
      </w:tr>
      <w:tr w14:paraId="77138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9230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环境故障</w:t>
            </w:r>
          </w:p>
        </w:tc>
        <w:tc>
          <w:tcPr>
            <w:tcW w:w="44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935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机房电力、空调故障</w:t>
            </w:r>
          </w:p>
        </w:tc>
      </w:tr>
      <w:tr w14:paraId="6313E7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827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其他事件</w:t>
            </w:r>
          </w:p>
        </w:tc>
        <w:tc>
          <w:tcPr>
            <w:tcW w:w="44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B88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其他影响业务连续性的突发事件</w:t>
            </w:r>
          </w:p>
        </w:tc>
      </w:tr>
    </w:tbl>
    <w:p w14:paraId="2CC711B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4"/>
      <w:bookmarkStart w:id="7" w:name="_Toc10686"/>
      <w:r>
        <w:t>术语定义</w:t>
      </w:r>
      <w:bookmarkEnd w:id="6"/>
      <w:bookmarkEnd w:id="7"/>
    </w:p>
    <w:p w14:paraId="2DA3D0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2988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应急响应术语表</w:t>
      </w:r>
      <w:bookmarkEnd w:id="8"/>
    </w:p>
    <w:tbl>
      <w:tblPr>
        <w:tblStyle w:val="22"/>
        <w:tblW w:w="666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0"/>
        <w:gridCol w:w="5256"/>
      </w:tblGrid>
      <w:tr w14:paraId="678F30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9E19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术语</w:t>
            </w:r>
          </w:p>
        </w:tc>
        <w:tc>
          <w:tcPr>
            <w:tcW w:w="525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158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定义</w:t>
            </w:r>
          </w:p>
        </w:tc>
      </w:tr>
      <w:tr w14:paraId="596082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F8F6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突发事件</w:t>
            </w:r>
          </w:p>
        </w:tc>
        <w:tc>
          <w:tcPr>
            <w:tcW w:w="52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21B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突然发生、可能或已经导致服务中断或质量下降，需要立即采取应对措施的事件</w:t>
            </w:r>
          </w:p>
        </w:tc>
      </w:tr>
      <w:tr w14:paraId="0FB78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8C0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</w:t>
            </w:r>
          </w:p>
        </w:tc>
        <w:tc>
          <w:tcPr>
            <w:tcW w:w="52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F1A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为应对突发事件而采取的一系列行动和措施，包括监测、预警、处置、恢复等</w:t>
            </w:r>
          </w:p>
        </w:tc>
      </w:tr>
      <w:tr w14:paraId="40B58F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75BF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应急预案</w:t>
            </w:r>
          </w:p>
        </w:tc>
        <w:tc>
          <w:tcPr>
            <w:tcW w:w="52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7E7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针对可能发生的突发事件，预先制定的应急处置方案，包括组织架构、处置流程、资源保障等</w:t>
            </w:r>
          </w:p>
        </w:tc>
      </w:tr>
      <w:tr w14:paraId="40C8C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4A54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</w:t>
            </w:r>
          </w:p>
        </w:tc>
        <w:tc>
          <w:tcPr>
            <w:tcW w:w="52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6225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按照应急预案组织的模拟演习，以检验预案可行性、锻炼队伍应急能力</w:t>
            </w:r>
          </w:p>
        </w:tc>
      </w:tr>
      <w:tr w14:paraId="5C415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1C6E4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应急组织</w:t>
            </w:r>
          </w:p>
        </w:tc>
        <w:tc>
          <w:tcPr>
            <w:tcW w:w="52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06F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负责应急响应工作的领导机构和工作小组，包括应急领导小组、应急执行小组、应急支持小组</w:t>
            </w:r>
          </w:p>
        </w:tc>
      </w:tr>
    </w:tbl>
    <w:p w14:paraId="54F214E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5"/>
      <w:bookmarkStart w:id="10" w:name="_Toc7325"/>
      <w:r>
        <w:t>应急管理原则</w:t>
      </w:r>
      <w:bookmarkEnd w:id="9"/>
      <w:bookmarkEnd w:id="10"/>
    </w:p>
    <w:p w14:paraId="2AF1692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746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应急管理原则表</w:t>
      </w:r>
      <w:bookmarkEnd w:id="11"/>
    </w:p>
    <w:tbl>
      <w:tblPr>
        <w:tblStyle w:val="22"/>
        <w:tblW w:w="66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5207"/>
      </w:tblGrid>
      <w:tr w14:paraId="5B8C7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9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C2AC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原则</w:t>
            </w:r>
          </w:p>
        </w:tc>
        <w:tc>
          <w:tcPr>
            <w:tcW w:w="520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1C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</w:tr>
      <w:tr w14:paraId="5D305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4E50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预防为主，常备不懈</w:t>
            </w:r>
          </w:p>
        </w:tc>
        <w:tc>
          <w:tcPr>
            <w:tcW w:w="5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4E63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加强日常风险排查和隐患治理，做好应急准备，防患于未然</w:t>
            </w:r>
          </w:p>
        </w:tc>
      </w:tr>
      <w:tr w14:paraId="7DFA40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6E6D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统一指挥，协同作战</w:t>
            </w:r>
          </w:p>
        </w:tc>
        <w:tc>
          <w:tcPr>
            <w:tcW w:w="5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29C9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建立统一的应急指挥体系，各部门协同配合，确保应急处置高效有序</w:t>
            </w:r>
          </w:p>
        </w:tc>
      </w:tr>
      <w:tr w14:paraId="0D41A9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07A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快速响应，有效处置</w:t>
            </w:r>
          </w:p>
        </w:tc>
        <w:tc>
          <w:tcPr>
            <w:tcW w:w="5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F61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突发事件发生后，立即启动应急响应，采取有效措施控制事态发展，尽快恢复服务</w:t>
            </w:r>
          </w:p>
        </w:tc>
      </w:tr>
      <w:tr w14:paraId="6E0B4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2EBA2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信息畅通，及时报告</w:t>
            </w:r>
          </w:p>
        </w:tc>
        <w:tc>
          <w:tcPr>
            <w:tcW w:w="5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5BB3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建立畅通的信息报告渠道，确保应急信息准确、及时传递</w:t>
            </w:r>
          </w:p>
        </w:tc>
      </w:tr>
      <w:tr w14:paraId="18437D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FBE3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总结改进，持续优化</w:t>
            </w:r>
          </w:p>
        </w:tc>
        <w:tc>
          <w:tcPr>
            <w:tcW w:w="52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46A06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每次应急事件后及时复盘，总结经验教训，持续完善应急管理体系</w:t>
            </w:r>
          </w:p>
        </w:tc>
      </w:tr>
    </w:tbl>
    <w:p w14:paraId="364D5F1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6"/>
      <w:bookmarkStart w:id="13" w:name="_Toc25354"/>
      <w:r>
        <w:t>应急管理流程</w:t>
      </w:r>
      <w:bookmarkEnd w:id="12"/>
      <w:bookmarkEnd w:id="13"/>
    </w:p>
    <w:p w14:paraId="63A7F3A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7"/>
      <w:bookmarkStart w:id="15" w:name="_Toc32594"/>
      <w:r>
        <w:t>应急组织与职责</w:t>
      </w:r>
      <w:bookmarkEnd w:id="14"/>
      <w:bookmarkEnd w:id="15"/>
    </w:p>
    <w:p w14:paraId="71C3024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公司建立“内部三级应急组织 + 外部相关方协同”的应急响应体系。内部三级为应急领导小组、应急执行小组、应急支持小组；外部相关方包括服务供方、系统供应商、专家团队，以及通信、电力、机房、云平台、安全服务商等。外部相关方根据事件类型和影响程度参与应急响应，由应急领导小组统一指挥、统一接口、统一调度。</w:t>
      </w:r>
    </w:p>
    <w:p w14:paraId="132ED22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1263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内部应急组织架构表</w:t>
      </w:r>
      <w:bookmarkEnd w:id="16"/>
    </w:p>
    <w:tbl>
      <w:tblPr>
        <w:tblStyle w:val="22"/>
        <w:tblW w:w="726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2660"/>
        <w:gridCol w:w="3020"/>
      </w:tblGrid>
      <w:tr w14:paraId="34D16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396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组织层级</w:t>
            </w:r>
          </w:p>
        </w:tc>
        <w:tc>
          <w:tcPr>
            <w:tcW w:w="2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950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组成人员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061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主要职责</w:t>
            </w:r>
          </w:p>
        </w:tc>
      </w:tr>
      <w:tr w14:paraId="32B31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3CF9C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应急领导小组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CF2C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副总经理、运维部经理、研发部经理、质量部经理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6E9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负责重大突发事件的决策指挥；协调跨部门资源；审批应急预案；监督应急演练</w:t>
            </w:r>
          </w:p>
        </w:tc>
      </w:tr>
      <w:tr w14:paraId="25C4B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E4D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应急执行小组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29C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运维项目经理、硬件运维工程师、软件运维工程师、技术支持工程师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41E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负责具体应急处置工作；执行应急预案；记录处置过程；参与应急演练</w:t>
            </w:r>
          </w:p>
        </w:tc>
      </w:tr>
      <w:tr w14:paraId="130DD0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9782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应急支持小组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797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人力部经理、备件库专员、采购专员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000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负责后勤保障、物资调配、外部联络、客户沟通等支持工作</w:t>
            </w:r>
          </w:p>
        </w:tc>
      </w:tr>
    </w:tbl>
    <w:p w14:paraId="13DD87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7" w:name="_Toc1223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关键角色职责表</w:t>
      </w:r>
      <w:bookmarkEnd w:id="17"/>
    </w:p>
    <w:tbl>
      <w:tblPr>
        <w:tblStyle w:val="22"/>
        <w:tblW w:w="73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3020"/>
        <w:gridCol w:w="3020"/>
      </w:tblGrid>
      <w:tr w14:paraId="5F8E3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06B3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369A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BF6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4DB83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873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应急总指挥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EE6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副总经理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D49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全面负责应急指挥工作，下达应急指令</w:t>
            </w:r>
          </w:p>
        </w:tc>
      </w:tr>
      <w:tr w14:paraId="5E5382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DEB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现场处置负责人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11E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A80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负责现场应急处置的组织和协调</w:t>
            </w:r>
          </w:p>
        </w:tc>
      </w:tr>
      <w:tr w14:paraId="6C45D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E676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技术支持专家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4A4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研发部经理、技术支持工程师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29C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提供技术决策支持，解决复杂技术问题</w:t>
            </w:r>
          </w:p>
        </w:tc>
      </w:tr>
      <w:tr w14:paraId="76A5BA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357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后勤保障负责人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97A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人力部经理、备件库专员、采购专员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F554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负责应急物资调配和后勤保障</w:t>
            </w:r>
          </w:p>
        </w:tc>
      </w:tr>
    </w:tbl>
    <w:p w14:paraId="32376D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6E148B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8" w:name="_Toc1846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外部相关方角色职责</w:t>
      </w:r>
      <w:bookmarkEnd w:id="18"/>
    </w:p>
    <w:tbl>
      <w:tblPr>
        <w:tblW w:w="926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1590"/>
        <w:gridCol w:w="2470"/>
        <w:gridCol w:w="1690"/>
        <w:gridCol w:w="2267"/>
      </w:tblGrid>
      <w:tr w14:paraId="16606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75927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相关方</w:t>
            </w:r>
          </w:p>
        </w:tc>
        <w:tc>
          <w:tcPr>
            <w:tcW w:w="15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C000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角色定位</w:t>
            </w:r>
          </w:p>
        </w:tc>
        <w:tc>
          <w:tcPr>
            <w:tcW w:w="24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179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主要职责</w:t>
            </w:r>
          </w:p>
        </w:tc>
        <w:tc>
          <w:tcPr>
            <w:tcW w:w="16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18AA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介入时机</w:t>
            </w:r>
          </w:p>
        </w:tc>
        <w:tc>
          <w:tcPr>
            <w:tcW w:w="22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4F6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接口/联络要求</w:t>
            </w:r>
          </w:p>
        </w:tc>
      </w:tr>
      <w:tr w14:paraId="63B8DC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03065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服务需方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5340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业务受影响方/客户</w:t>
            </w:r>
          </w:p>
        </w:tc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8FC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确认业务影响和优先级；提供业务授权、访问和配合；参与重大处置决策；接收信息通报；验证服务恢复；参与复盘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EA4A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事件影响客户业务、需业务侧配合、重大事件、应急终止确认</w:t>
            </w:r>
          </w:p>
        </w:tc>
        <w:tc>
          <w:tcPr>
            <w:tcW w:w="22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986DB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由应急总指挥或指定客户经理统一接口；重大事件每30分钟通报一次</w:t>
            </w:r>
          </w:p>
        </w:tc>
      </w:tr>
      <w:tr w14:paraId="1C6D8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5390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服务供方（数飞科技）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08C1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应急响应责任主体</w:t>
            </w:r>
          </w:p>
        </w:tc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6CA7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建立应急组织；启动和终止预案；组织处置与恢复；调配资源；信息报告；记录归档；复盘改进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A957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应急响应全流程</w:t>
            </w:r>
          </w:p>
        </w:tc>
        <w:tc>
          <w:tcPr>
            <w:tcW w:w="22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195BD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应急领导小组统一指挥，执行小组现场处置，支持小组保障</w:t>
            </w:r>
          </w:p>
        </w:tc>
      </w:tr>
      <w:tr w14:paraId="29F40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7BE56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设备或系统供应商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882F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技术、备件支持方</w:t>
            </w:r>
          </w:p>
        </w:tc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43B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提供原厂技术支持、远程/现场支持、备件供应、补丁/版本、根因分析；配合恢复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016C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硬件故障、软件缺陷、超出内部技术能力、需备件或补丁</w:t>
            </w:r>
          </w:p>
        </w:tc>
        <w:tc>
          <w:tcPr>
            <w:tcW w:w="22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5A6CE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由应急支持小组/采购备件接口，按合同或SLA响应</w:t>
            </w:r>
          </w:p>
        </w:tc>
      </w:tr>
      <w:tr w14:paraId="3EC12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8FA7D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专家团队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9E66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技术、管理咨询支持方</w:t>
            </w:r>
          </w:p>
        </w:tc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BAB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复杂故障会诊；提供技术方案和风险评估；参与重大决策；指导处置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B1A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重大/复杂事件、30分钟未恢复、安全事件、需外部权威支持</w:t>
            </w:r>
          </w:p>
        </w:tc>
        <w:tc>
          <w:tcPr>
            <w:tcW w:w="22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84273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由应急领导小组批准邀请，指定接口人，签署保密协议</w:t>
            </w:r>
          </w:p>
        </w:tc>
      </w:tr>
      <w:tr w14:paraId="6E493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5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B85E2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其他相关方（通信、电力、机房、云、安全等）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8117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基础资源/专业服务支持方</w:t>
            </w:r>
          </w:p>
        </w:tc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A260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保障通信、电力、机房、云平台、安全防护等；按合同提供应急支持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029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相应基础设施或专业领域事件</w:t>
            </w:r>
          </w:p>
        </w:tc>
        <w:tc>
          <w:tcPr>
            <w:tcW w:w="22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09FD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纳入应急联络表，由应急支持小组统一联络</w:t>
            </w:r>
          </w:p>
        </w:tc>
      </w:tr>
    </w:tbl>
    <w:p w14:paraId="2741EA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39BBEAE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8"/>
      <w:bookmarkStart w:id="20" w:name="_Toc13762"/>
      <w:r>
        <w:t>风险评估</w:t>
      </w:r>
      <w:bookmarkEnd w:id="19"/>
      <w:bookmarkEnd w:id="20"/>
    </w:p>
    <w:p w14:paraId="3AFD39A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风险评估是应急管理的基础，旨在识别潜在风险并确定其影响程度，为应急预案制定提供依据。</w:t>
      </w:r>
    </w:p>
    <w:p w14:paraId="4C31028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9"/>
      <w:bookmarkStart w:id="22" w:name="_Toc8910"/>
      <w:r>
        <w:t>评估频次</w:t>
      </w:r>
      <w:bookmarkEnd w:id="21"/>
      <w:bookmarkEnd w:id="22"/>
    </w:p>
    <w:p w14:paraId="25526D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3" w:name="_Toc781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风险评估频次表</w:t>
      </w:r>
      <w:bookmarkEnd w:id="23"/>
    </w:p>
    <w:tbl>
      <w:tblPr>
        <w:tblStyle w:val="22"/>
        <w:tblW w:w="60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20"/>
        <w:gridCol w:w="3276"/>
        <w:gridCol w:w="1604"/>
      </w:tblGrid>
      <w:tr w14:paraId="64F55A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0D9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评估类型</w:t>
            </w:r>
          </w:p>
        </w:tc>
        <w:tc>
          <w:tcPr>
            <w:tcW w:w="327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C7E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评估时机</w:t>
            </w:r>
          </w:p>
        </w:tc>
        <w:tc>
          <w:tcPr>
            <w:tcW w:w="16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6F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</w:tr>
      <w:tr w14:paraId="2B7EF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5DA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年度评估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1980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每年12月组织一次全面风险评估</w:t>
            </w:r>
          </w:p>
        </w:tc>
        <w:tc>
          <w:tcPr>
            <w:tcW w:w="1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BAB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</w:tr>
      <w:tr w14:paraId="32A746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52C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专项评估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919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新项目启动、重大变更实施前、新技术引入时</w:t>
            </w:r>
          </w:p>
        </w:tc>
        <w:tc>
          <w:tcPr>
            <w:tcW w:w="1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9F2A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</w:tr>
    </w:tbl>
    <w:p w14:paraId="085CA8B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0"/>
      <w:bookmarkStart w:id="25" w:name="_Toc21510"/>
      <w:r>
        <w:t>评估内容</w:t>
      </w:r>
      <w:bookmarkEnd w:id="24"/>
      <w:bookmarkEnd w:id="25"/>
    </w:p>
    <w:p w14:paraId="5E2A5FA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872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风险评估内容表</w:t>
      </w:r>
      <w:bookmarkEnd w:id="26"/>
    </w:p>
    <w:tbl>
      <w:tblPr>
        <w:tblStyle w:val="22"/>
        <w:tblW w:w="60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4"/>
        <w:gridCol w:w="4696"/>
      </w:tblGrid>
      <w:tr w14:paraId="65A8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0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50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风险类别</w:t>
            </w:r>
          </w:p>
        </w:tc>
        <w:tc>
          <w:tcPr>
            <w:tcW w:w="469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20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评估内容</w:t>
            </w:r>
          </w:p>
        </w:tc>
      </w:tr>
      <w:tr w14:paraId="04798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F3F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技术风险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8B4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系统架构缺陷、软件漏洞、硬件老化、容量瓶颈</w:t>
            </w:r>
          </w:p>
        </w:tc>
      </w:tr>
      <w:tr w14:paraId="3D991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0864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安全风险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8387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网络攻击、病毒入侵、数据泄露、权限滥用</w:t>
            </w:r>
          </w:p>
        </w:tc>
      </w:tr>
      <w:tr w14:paraId="38617B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285A9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环境风险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F81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电力中断、空调故障、火灾、水灾</w:t>
            </w:r>
          </w:p>
        </w:tc>
      </w:tr>
      <w:tr w14:paraId="16A92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938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人员风险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C7A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关键人员离职、操作失误、技能不足</w:t>
            </w:r>
          </w:p>
        </w:tc>
      </w:tr>
    </w:tbl>
    <w:p w14:paraId="2C849E5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1"/>
      <w:bookmarkStart w:id="28" w:name="_Toc6901"/>
      <w:r>
        <w:t>评估方法</w:t>
      </w:r>
      <w:bookmarkEnd w:id="27"/>
      <w:bookmarkEnd w:id="28"/>
    </w:p>
    <w:p w14:paraId="01060E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采用定性或定量方法，对风险发生概率和影响程度进行评估，形成《风险评估报告》，确定风险等级（高/中/低）及应对优先级。</w:t>
      </w:r>
    </w:p>
    <w:p w14:paraId="0D4C9F0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2"/>
      <w:bookmarkStart w:id="30" w:name="_Toc11087"/>
      <w:r>
        <w:t>应急预案管理</w:t>
      </w:r>
      <w:bookmarkEnd w:id="29"/>
      <w:bookmarkEnd w:id="30"/>
    </w:p>
    <w:p w14:paraId="514E5F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应急预案是针对可能发生的突发事件，预先制定的处置方案。</w:t>
      </w:r>
    </w:p>
    <w:p w14:paraId="782BD2A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3"/>
      <w:bookmarkStart w:id="32" w:name="_Toc11263"/>
      <w:r>
        <w:t>预案编制要求</w:t>
      </w:r>
      <w:bookmarkEnd w:id="31"/>
      <w:bookmarkEnd w:id="32"/>
    </w:p>
    <w:p w14:paraId="04E8A8C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3" w:name="_Toc2198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应急预案编制要求表</w:t>
      </w:r>
      <w:bookmarkEnd w:id="33"/>
    </w:p>
    <w:tbl>
      <w:tblPr>
        <w:tblStyle w:val="22"/>
        <w:tblW w:w="60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54"/>
        <w:gridCol w:w="5046"/>
      </w:tblGrid>
      <w:tr w14:paraId="2D479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5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C068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50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4B66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编制要求</w:t>
            </w:r>
          </w:p>
        </w:tc>
      </w:tr>
      <w:tr w14:paraId="5E2813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5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22BB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50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C80E0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每个运维项目应至少制定一份《应急预案》，涵盖项目核心系统</w:t>
            </w:r>
          </w:p>
        </w:tc>
      </w:tr>
      <w:tr w14:paraId="1B5C4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5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1FA9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50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5B61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应急预案应包括：适用范围、应急组织架构及职责、风险场景及对应处置流程、联络方式、资源清单、恢复步骤、回退方案等</w:t>
            </w:r>
          </w:p>
        </w:tc>
      </w:tr>
      <w:tr w14:paraId="46152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5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CCFA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50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E074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应急预案应简明实用，便于快速查阅和执行</w:t>
            </w:r>
          </w:p>
        </w:tc>
      </w:tr>
    </w:tbl>
    <w:p w14:paraId="3C84954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4"/>
      <w:bookmarkStart w:id="35" w:name="_Toc12584"/>
      <w:r>
        <w:t>预案审批</w:t>
      </w:r>
      <w:bookmarkEnd w:id="34"/>
      <w:bookmarkEnd w:id="35"/>
    </w:p>
    <w:p w14:paraId="6CCE40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应急预案由运维项目经理组织编写，经运维部经理审核、副总经理批准后发布执行。</w:t>
      </w:r>
    </w:p>
    <w:p w14:paraId="4D46F90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5"/>
      <w:bookmarkStart w:id="37" w:name="_Toc30382"/>
      <w:r>
        <w:t>预案发布与宣贯</w:t>
      </w:r>
      <w:bookmarkEnd w:id="36"/>
      <w:bookmarkEnd w:id="37"/>
    </w:p>
    <w:p w14:paraId="7E20A2A9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38" w:name="_Toc2598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预案发布宣贯要求表</w:t>
      </w:r>
      <w:bookmarkEnd w:id="38"/>
    </w:p>
    <w:tbl>
      <w:tblPr>
        <w:tblStyle w:val="22"/>
        <w:tblW w:w="60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7"/>
        <w:gridCol w:w="5363"/>
      </w:tblGrid>
      <w:tr w14:paraId="2F6A71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CB54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53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8993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4DBB37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957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53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AE45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应急预案发布后，应组织相关人员进行培训，确保熟悉预案内容</w:t>
            </w:r>
          </w:p>
        </w:tc>
      </w:tr>
      <w:tr w14:paraId="209C3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DC5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53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46B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应急预案应分发至所有应急组织成员，并存放于易获取的位置（如共享文档库、运维工具中）</w:t>
            </w:r>
          </w:p>
        </w:tc>
      </w:tr>
    </w:tbl>
    <w:p w14:paraId="02F6078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16"/>
      <w:bookmarkStart w:id="40" w:name="_Toc9998"/>
      <w:r>
        <w:t>预案更新</w:t>
      </w:r>
      <w:bookmarkEnd w:id="39"/>
      <w:bookmarkEnd w:id="40"/>
    </w:p>
    <w:p w14:paraId="37A1E9A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41" w:name="_Toc32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预案更新要求表</w:t>
      </w:r>
      <w:bookmarkEnd w:id="41"/>
    </w:p>
    <w:tbl>
      <w:tblPr>
        <w:tblStyle w:val="22"/>
        <w:tblW w:w="7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2"/>
        <w:gridCol w:w="6588"/>
      </w:tblGrid>
      <w:tr w14:paraId="5C160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FC7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65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934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更新时机</w:t>
            </w:r>
          </w:p>
        </w:tc>
      </w:tr>
      <w:tr w14:paraId="222A3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298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65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BCA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每年至少评审一次应急预案</w:t>
            </w:r>
          </w:p>
        </w:tc>
      </w:tr>
      <w:tr w14:paraId="5E6FB1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A0B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65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F08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根据风险评估结果、演练总结、实际事件处置经验进行修订</w:t>
            </w:r>
          </w:p>
        </w:tc>
      </w:tr>
      <w:tr w14:paraId="265E1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396E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65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D78B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重大变更或组织架构调整后，应及时更新应急预案</w:t>
            </w:r>
          </w:p>
        </w:tc>
      </w:tr>
    </w:tbl>
    <w:p w14:paraId="7F37E1D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17"/>
      <w:bookmarkStart w:id="43" w:name="_Toc21319"/>
      <w:r>
        <w:t>应急响应流程</w:t>
      </w:r>
      <w:bookmarkEnd w:id="42"/>
      <w:bookmarkEnd w:id="43"/>
    </w:p>
    <w:p w14:paraId="427E14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应急响应流程分为监测与预警、先期处置、应急启动、应急处置、应急终止五个阶段。</w:t>
      </w:r>
    </w:p>
    <w:p w14:paraId="643E99F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18"/>
      <w:bookmarkStart w:id="45" w:name="_Toc5632"/>
      <w:r>
        <w:t>监测与预警</w:t>
      </w:r>
      <w:bookmarkEnd w:id="44"/>
      <w:bookmarkEnd w:id="45"/>
    </w:p>
    <w:p w14:paraId="335C3F96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46" w:name="_Toc1980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监测与预警要求表</w:t>
      </w:r>
      <w:bookmarkEnd w:id="4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9"/>
        <w:gridCol w:w="7823"/>
      </w:tblGrid>
      <w:tr w14:paraId="3B278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0237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78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E5A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73AFB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EEE3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8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C5B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通过监控工具7×24小时实时监测系统运行状态</w:t>
            </w:r>
          </w:p>
        </w:tc>
      </w:tr>
      <w:tr w14:paraId="337A4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7D6D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8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D780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当监控指标触发预警阈值时，监控系统自动发送告警至值班人员</w:t>
            </w:r>
          </w:p>
        </w:tc>
      </w:tr>
      <w:tr w14:paraId="1CFACA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B40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8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2EF4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值班人员应立即核实告警信息，判断是否为突发事件，必要时启动应急响应</w:t>
            </w:r>
          </w:p>
        </w:tc>
      </w:tr>
    </w:tbl>
    <w:p w14:paraId="6A3AE36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7" w:name="heading_19"/>
      <w:bookmarkStart w:id="48" w:name="_Toc14680"/>
      <w:r>
        <w:t>先期处置</w:t>
      </w:r>
      <w:bookmarkEnd w:id="47"/>
      <w:bookmarkEnd w:id="48"/>
    </w:p>
    <w:p w14:paraId="0439694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49" w:name="_Toc751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先期处置要求表</w:t>
      </w:r>
      <w:bookmarkEnd w:id="4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7"/>
        <w:gridCol w:w="7825"/>
      </w:tblGrid>
      <w:tr w14:paraId="7064D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DA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78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EAF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7D36A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831B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8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378FF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一线工程师接到告警后，应在15分钟内响应，尝试快速恢复服务</w:t>
            </w:r>
          </w:p>
        </w:tc>
      </w:tr>
      <w:tr w14:paraId="5F9DA8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C88B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8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082A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若在30分钟内无法恢复，或事件影响重大（如核心业务中断），应立即上报运维项目经理和副总经理</w:t>
            </w:r>
          </w:p>
        </w:tc>
      </w:tr>
    </w:tbl>
    <w:p w14:paraId="0D12957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heading_20"/>
      <w:bookmarkStart w:id="51" w:name="_Toc1978"/>
      <w:r>
        <w:t>应急启动</w:t>
      </w:r>
      <w:bookmarkEnd w:id="50"/>
      <w:bookmarkEnd w:id="51"/>
    </w:p>
    <w:p w14:paraId="22C26EA5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52" w:name="_Toc538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应急启动要求表</w:t>
      </w:r>
      <w:bookmarkEnd w:id="5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8"/>
        <w:gridCol w:w="7824"/>
      </w:tblGrid>
      <w:tr w14:paraId="2D60D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A5A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78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9DB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67B15B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C0933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2FB9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应急领导小组根据事件等级决定是否启动应急预案</w:t>
            </w:r>
          </w:p>
        </w:tc>
      </w:tr>
      <w:tr w14:paraId="13F7C1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D9A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8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BD24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启动应急预案后，应急总指挥下达指令，应急执行小组迅速到位，按照预案开展处置工作</w:t>
            </w:r>
          </w:p>
        </w:tc>
      </w:tr>
    </w:tbl>
    <w:p w14:paraId="49AB89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3" w:name="heading_21"/>
      <w:bookmarkStart w:id="54" w:name="_Toc17030"/>
      <w:r>
        <w:t>应急处置</w:t>
      </w:r>
      <w:bookmarkEnd w:id="53"/>
      <w:bookmarkEnd w:id="54"/>
    </w:p>
    <w:p w14:paraId="3AFC55F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55" w:name="_Toc2889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应急处置要求表</w:t>
      </w:r>
      <w:bookmarkEnd w:id="5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6"/>
        <w:gridCol w:w="7306"/>
      </w:tblGrid>
      <w:tr w14:paraId="658D9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B4C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阶段</w:t>
            </w:r>
          </w:p>
        </w:tc>
        <w:tc>
          <w:tcPr>
            <w:tcW w:w="73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7124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24F1AE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678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故障排查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183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快速定位故障点，分析故障原因</w:t>
            </w:r>
          </w:p>
        </w:tc>
      </w:tr>
      <w:tr w14:paraId="22579F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7B0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服务恢复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FDB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采取有效措施恢复服务，必要时执行回退方案</w:t>
            </w:r>
          </w:p>
        </w:tc>
      </w:tr>
      <w:tr w14:paraId="088A5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FF0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信息通报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BB7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按照预案要求，及时向客户、管理层通报处置进展，重大事件每30分钟通报一次</w:t>
            </w:r>
          </w:p>
        </w:tc>
      </w:tr>
      <w:tr w14:paraId="2A4AAE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414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资源协调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8640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如需外部支持（如厂商、研发部门），由应急领导小组协调</w:t>
            </w:r>
          </w:p>
        </w:tc>
      </w:tr>
    </w:tbl>
    <w:p w14:paraId="6F9F438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heading_22"/>
      <w:bookmarkStart w:id="57" w:name="_Toc29371"/>
      <w:r>
        <w:t>应急终止</w:t>
      </w:r>
      <w:bookmarkEnd w:id="56"/>
      <w:bookmarkEnd w:id="57"/>
    </w:p>
    <w:p w14:paraId="6F0CA181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58" w:name="_Toc1951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应急终止要求表</w:t>
      </w:r>
      <w:bookmarkEnd w:id="5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7"/>
        <w:gridCol w:w="7825"/>
      </w:tblGrid>
      <w:tr w14:paraId="7310E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6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9A0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78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D0E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056AD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5A9C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8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625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服务恢复且系统稳定运行30分钟后，经应急领导小组确认，可终止应急响应</w:t>
            </w:r>
          </w:p>
        </w:tc>
      </w:tr>
      <w:tr w14:paraId="47516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E4AB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8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DD19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应急终止后，应填写《应急事件处置报告》，详细记录事件发生时间、影响范围、处置过程、恢复时间、根本原因、改进措施等</w:t>
            </w:r>
          </w:p>
        </w:tc>
      </w:tr>
    </w:tbl>
    <w:p w14:paraId="3366793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heading_23"/>
      <w:bookmarkStart w:id="60" w:name="_Toc2302"/>
      <w:r>
        <w:t>应急演练</w:t>
      </w:r>
      <w:bookmarkEnd w:id="59"/>
      <w:bookmarkEnd w:id="60"/>
    </w:p>
    <w:p w14:paraId="46B789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应急演练是检验应急预案有效性和提升应急队伍能力的重要手段。</w:t>
      </w:r>
    </w:p>
    <w:p w14:paraId="7483577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heading_24"/>
      <w:bookmarkStart w:id="62" w:name="_Toc14210"/>
      <w:r>
        <w:t>演练频次</w:t>
      </w:r>
      <w:bookmarkEnd w:id="61"/>
      <w:bookmarkEnd w:id="62"/>
    </w:p>
    <w:p w14:paraId="4ED82B5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63" w:name="_Toc430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应急演练频次表</w:t>
      </w:r>
      <w:bookmarkEnd w:id="6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66"/>
        <w:gridCol w:w="3315"/>
        <w:gridCol w:w="2841"/>
      </w:tblGrid>
      <w:tr w14:paraId="73A44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1D2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演练类型</w:t>
            </w:r>
          </w:p>
        </w:tc>
        <w:tc>
          <w:tcPr>
            <w:tcW w:w="33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DC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频次</w:t>
            </w:r>
          </w:p>
        </w:tc>
        <w:tc>
          <w:tcPr>
            <w:tcW w:w="284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7C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</w:tr>
      <w:tr w14:paraId="53D25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DD1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全面演练</w:t>
            </w:r>
          </w:p>
        </w:tc>
        <w:tc>
          <w:tcPr>
            <w:tcW w:w="33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0286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每年至少一次</w:t>
            </w:r>
          </w:p>
        </w:tc>
        <w:tc>
          <w:tcPr>
            <w:tcW w:w="28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E08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副总经理</w:t>
            </w:r>
          </w:p>
        </w:tc>
      </w:tr>
      <w:tr w14:paraId="6F7A6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EE0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专项演练</w:t>
            </w:r>
          </w:p>
        </w:tc>
        <w:tc>
          <w:tcPr>
            <w:tcW w:w="33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EF6D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28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8C2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运维部经理</w:t>
            </w:r>
          </w:p>
        </w:tc>
      </w:tr>
    </w:tbl>
    <w:p w14:paraId="5121DF3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heading_25"/>
      <w:bookmarkStart w:id="65" w:name="_Toc26174"/>
      <w:r>
        <w:t>演练形式</w:t>
      </w:r>
      <w:bookmarkEnd w:id="64"/>
      <w:bookmarkEnd w:id="65"/>
    </w:p>
    <w:p w14:paraId="2B93AC9A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66" w:name="_Toc1006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应急演练形式表</w:t>
      </w:r>
      <w:bookmarkEnd w:id="6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6"/>
        <w:gridCol w:w="6816"/>
      </w:tblGrid>
      <w:tr w14:paraId="7F787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7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30F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演练形式</w:t>
            </w:r>
          </w:p>
        </w:tc>
        <w:tc>
          <w:tcPr>
            <w:tcW w:w="68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8795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</w:tr>
      <w:tr w14:paraId="20599D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FD21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桌面推演</w:t>
            </w:r>
          </w:p>
        </w:tc>
        <w:tc>
          <w:tcPr>
            <w:tcW w:w="68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D93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以会议形式讨论应急预案，检验流程合理性</w:t>
            </w:r>
          </w:p>
        </w:tc>
      </w:tr>
      <w:tr w14:paraId="545EFB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734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  <w:tc>
          <w:tcPr>
            <w:tcW w:w="68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F4A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模拟真实故障场景，实际操作应急处置流程</w:t>
            </w:r>
          </w:p>
        </w:tc>
      </w:tr>
    </w:tbl>
    <w:p w14:paraId="7444B2D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26"/>
      <w:bookmarkStart w:id="68" w:name="_Toc16548"/>
      <w:r>
        <w:t>演练要求</w:t>
      </w:r>
      <w:bookmarkEnd w:id="67"/>
      <w:bookmarkEnd w:id="68"/>
    </w:p>
    <w:p w14:paraId="233B667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69" w:name="_Toc661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应急演练要求表</w:t>
      </w:r>
      <w:bookmarkEnd w:id="6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8"/>
        <w:gridCol w:w="7824"/>
      </w:tblGrid>
      <w:tr w14:paraId="73BAE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FF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78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328F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7C2E5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337CF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3B2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演练前制定《应急演练计划》，明确演练目标、场景、参与人员、物资准备</w:t>
            </w:r>
          </w:p>
        </w:tc>
      </w:tr>
      <w:tr w14:paraId="707738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9E5B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6D0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演练过程全程记录，演练后组织复盘，评估演练效果，形成《应急演练总结报告》</w:t>
            </w:r>
          </w:p>
        </w:tc>
      </w:tr>
      <w:tr w14:paraId="6C8369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8C5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8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3A8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针对演练中发现的问题，及时修订应急预案，并组织再培训</w:t>
            </w:r>
          </w:p>
        </w:tc>
      </w:tr>
    </w:tbl>
    <w:p w14:paraId="35E0EE1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0" w:name="heading_27"/>
      <w:bookmarkStart w:id="71" w:name="_Toc32078"/>
      <w:r>
        <w:t>总结改进</w:t>
      </w:r>
      <w:bookmarkEnd w:id="70"/>
      <w:bookmarkEnd w:id="71"/>
    </w:p>
    <w:p w14:paraId="303EC60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每次应急事件或演练结束后，应及时进行总结，推动应急管理体系持续改进。</w:t>
      </w:r>
    </w:p>
    <w:p w14:paraId="3A512E7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72" w:name="_Toc805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总结改进要求表</w:t>
      </w:r>
      <w:bookmarkEnd w:id="7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1"/>
        <w:gridCol w:w="7311"/>
      </w:tblGrid>
      <w:tr w14:paraId="114B21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3C1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活动</w:t>
            </w:r>
          </w:p>
        </w:tc>
        <w:tc>
          <w:tcPr>
            <w:tcW w:w="73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9CE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管理要求</w:t>
            </w:r>
          </w:p>
        </w:tc>
      </w:tr>
      <w:tr w14:paraId="44FB7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E217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事件复盘</w:t>
            </w:r>
          </w:p>
        </w:tc>
        <w:tc>
          <w:tcPr>
            <w:tcW w:w="7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1849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应急事件结束后5个工作日内，由副总经理组织复盘会议，分析事件原因、处置过程、存在问题，形成《应急事件复盘报告》</w:t>
            </w:r>
          </w:p>
        </w:tc>
      </w:tr>
      <w:tr w14:paraId="44839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A72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改进措施</w:t>
            </w:r>
          </w:p>
        </w:tc>
        <w:tc>
          <w:tcPr>
            <w:tcW w:w="7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A291E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针对复盘发现的问题，制定改进措施，明确责任人和完成时限，纳入公司《服务改进计划》跟踪落实</w:t>
            </w:r>
          </w:p>
        </w:tc>
      </w:tr>
      <w:tr w14:paraId="15559E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0EC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知识沉淀</w:t>
            </w:r>
          </w:p>
        </w:tc>
        <w:tc>
          <w:tcPr>
            <w:tcW w:w="73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F5B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将应急处置过程中的经验教训、解决方案纳入运维知识库，供全员共享</w:t>
            </w:r>
          </w:p>
        </w:tc>
      </w:tr>
    </w:tbl>
    <w:p w14:paraId="7324179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heading_28"/>
      <w:bookmarkStart w:id="74" w:name="_Toc9390"/>
      <w:r>
        <w:t>应急资源保障</w:t>
      </w:r>
      <w:bookmarkEnd w:id="73"/>
      <w:bookmarkEnd w:id="74"/>
    </w:p>
    <w:p w14:paraId="3FBCFD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为确保应急响应高效有序，公司提供以下资源保障：</w:t>
      </w:r>
    </w:p>
    <w:p w14:paraId="1EBD5DCE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5" w:name="_Toc3269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应急资源保障表</w:t>
      </w:r>
      <w:bookmarkEnd w:id="7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3"/>
        <w:gridCol w:w="7309"/>
      </w:tblGrid>
      <w:tr w14:paraId="743245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51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资源类型</w:t>
            </w:r>
          </w:p>
        </w:tc>
        <w:tc>
          <w:tcPr>
            <w:tcW w:w="7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55B1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保障措施</w:t>
            </w:r>
          </w:p>
        </w:tc>
      </w:tr>
      <w:tr w14:paraId="7584D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60C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人员资源</w:t>
            </w:r>
          </w:p>
        </w:tc>
        <w:tc>
          <w:tcPr>
            <w:tcW w:w="7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265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建立应急组织，明确AB角备份，确保关键岗位随时有人；定期组织应急培训</w:t>
            </w:r>
          </w:p>
        </w:tc>
      </w:tr>
      <w:tr w14:paraId="3BAEC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A89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技术资源</w:t>
            </w:r>
          </w:p>
        </w:tc>
        <w:tc>
          <w:tcPr>
            <w:tcW w:w="7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C97F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部署监控工具、备份工具、远程支持工具；建立运维知识库，积累应急处理经验</w:t>
            </w:r>
          </w:p>
        </w:tc>
      </w:tr>
      <w:tr w14:paraId="14CC7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30AA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备件资源</w:t>
            </w:r>
          </w:p>
        </w:tc>
        <w:tc>
          <w:tcPr>
            <w:tcW w:w="7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61EF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建立备件库，储备关键备件（如服务器硬盘、内存、网络模块），并与供应商签订紧急供货协议</w:t>
            </w:r>
          </w:p>
        </w:tc>
      </w:tr>
      <w:tr w14:paraId="260B51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FD13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通信资源</w:t>
            </w:r>
          </w:p>
        </w:tc>
        <w:tc>
          <w:tcPr>
            <w:tcW w:w="7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A49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建立应急联络表（含客户、内部人员、供应商联系方式），确保通信畅通；建立应急电话会议系统</w:t>
            </w:r>
          </w:p>
        </w:tc>
      </w:tr>
      <w:tr w14:paraId="51B403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934B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文档资源</w:t>
            </w:r>
          </w:p>
        </w:tc>
        <w:tc>
          <w:tcPr>
            <w:tcW w:w="7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3FD5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应急预案、操作手册、网络拓扑图、系统架构图等随时可查</w:t>
            </w:r>
          </w:p>
        </w:tc>
      </w:tr>
    </w:tbl>
    <w:p w14:paraId="79D8AA6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6" w:name="_Toc5029"/>
      <w:bookmarkStart w:id="77" w:name="heading_29"/>
      <w:r>
        <w:t>关键绩效指标（KPI）</w:t>
      </w:r>
      <w:bookmarkEnd w:id="76"/>
    </w:p>
    <w:p w14:paraId="468A85FB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8" w:name="_Toc30662"/>
      <w:r>
        <w:rPr>
          <w:rFonts w:hint="default"/>
          <w:lang w:val="en-US" w:eastAsia="zh-CN"/>
        </w:rPr>
        <w:t xml:space="preserve"> </w:t>
      </w:r>
      <w:r>
        <w:t>KPI指标表</w:t>
      </w:r>
      <w:bookmarkEnd w:id="7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5"/>
        <w:gridCol w:w="964"/>
        <w:gridCol w:w="3020"/>
        <w:gridCol w:w="1205"/>
        <w:gridCol w:w="1206"/>
      </w:tblGrid>
      <w:tr w14:paraId="3151A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B76D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绩效指标</w:t>
            </w:r>
          </w:p>
        </w:tc>
        <w:tc>
          <w:tcPr>
            <w:tcW w:w="9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2F73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30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8F34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衡量方式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8D0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考核频度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C0D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306EA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41B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9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FA1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≥</w:t>
            </w:r>
            <w:r>
              <w:rPr>
                <w:rFonts w:hint="eastAsia"/>
                <w:lang w:val="en-US" w:eastAsia="zh-CN"/>
              </w:rPr>
              <w:t>1次</w:t>
            </w:r>
          </w:p>
        </w:tc>
        <w:tc>
          <w:tcPr>
            <w:tcW w:w="30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F6FE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数量，应急演练报告数量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1ED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0F4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</w:tr>
    </w:tbl>
    <w:p w14:paraId="509A5D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CC39D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9" w:name="_Toc24555"/>
      <w:r>
        <w:t>记录与归档</w:t>
      </w:r>
      <w:bookmarkEnd w:id="77"/>
      <w:bookmarkEnd w:id="79"/>
    </w:p>
    <w:p w14:paraId="329B6E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应急管理过程中产生的各类记录应妥善保存，以备追溯和审计。</w:t>
      </w:r>
    </w:p>
    <w:p w14:paraId="4A006EB8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0" w:name="_Toc2241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记录归档要求表</w:t>
      </w:r>
      <w:bookmarkEnd w:id="80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12"/>
        <w:gridCol w:w="1955"/>
        <w:gridCol w:w="1955"/>
      </w:tblGrid>
      <w:tr w14:paraId="77596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6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733A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记录名称</w:t>
            </w:r>
          </w:p>
        </w:tc>
        <w:tc>
          <w:tcPr>
            <w:tcW w:w="19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B01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保存责任</w:t>
            </w:r>
          </w:p>
        </w:tc>
        <w:tc>
          <w:tcPr>
            <w:tcW w:w="19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DF3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保存期限</w:t>
            </w:r>
          </w:p>
        </w:tc>
      </w:tr>
      <w:tr w14:paraId="0B9D37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6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D07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《风险评估报告》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2B0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23D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5年</w:t>
            </w:r>
          </w:p>
        </w:tc>
      </w:tr>
      <w:tr w14:paraId="14701B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6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B600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《应急预案》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F17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257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长期</w:t>
            </w:r>
          </w:p>
        </w:tc>
      </w:tr>
      <w:tr w14:paraId="2FE35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6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46B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《应急演练计划》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30881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74F5F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45C16C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6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32FF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《应急演练总结报告》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47A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3C4C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3年</w:t>
            </w:r>
          </w:p>
        </w:tc>
      </w:tr>
      <w:tr w14:paraId="09072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6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DF86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《应急事件处置报告》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12F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0791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5年</w:t>
            </w:r>
          </w:p>
        </w:tc>
      </w:tr>
      <w:tr w14:paraId="0FD210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6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2C7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《应急事件复盘报告》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4577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2DA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5年</w:t>
            </w:r>
          </w:p>
        </w:tc>
      </w:tr>
    </w:tbl>
    <w:p w14:paraId="4C3CD2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1" w:name="heading_30"/>
      <w:bookmarkStart w:id="82" w:name="_Toc5706"/>
      <w:r>
        <w:t>相关文件</w:t>
      </w:r>
      <w:bookmarkEnd w:id="81"/>
      <w:bookmarkEnd w:id="82"/>
    </w:p>
    <w:p w14:paraId="48A3CEA8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《事件管理程序》</w:t>
      </w:r>
    </w:p>
    <w:p w14:paraId="3F6D779D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《问题管理程序》</w:t>
      </w:r>
    </w:p>
    <w:p w14:paraId="0B3D6B83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《变更管理程序》</w:t>
      </w:r>
    </w:p>
    <w:p w14:paraId="7658F9C5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《服务可用性和连续性管理制度》</w:t>
      </w:r>
    </w:p>
    <w:p w14:paraId="44C4479F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《信息安全管理程序》</w:t>
      </w:r>
    </w:p>
    <w:p w14:paraId="02F94E5D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《服务交付规范》</w:t>
      </w:r>
    </w:p>
    <w:p w14:paraId="1BAD28E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4EECAAF"/>
    <w:multiLevelType w:val="singleLevel"/>
    <w:tmpl w:val="74EECA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642105E"/>
    <w:rsid w:val="507A385F"/>
    <w:rsid w:val="60500560"/>
    <w:rsid w:val="63BC45E5"/>
    <w:rsid w:val="6E98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4458</Words>
  <Characters>4776</Characters>
  <Lines>0</Lines>
  <Paragraphs>0</Paragraphs>
  <TotalTime>0</TotalTime>
  <ScaleCrop>false</ScaleCrop>
  <LinksUpToDate>false</LinksUpToDate>
  <CharactersWithSpaces>5698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2026-09-20T16:26:49Z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