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bidi w:val="0"/>
        <w:rPr>
          <w:rFonts w:hint="eastAsia"/>
          <w:lang w:val="en-US" w:eastAsia="zh-CN"/>
        </w:rPr>
      </w:pPr>
      <w:bookmarkStart w:id="0" w:name="_Toc3156"/>
      <w:bookmarkStart w:id="1" w:name="_Toc6353"/>
      <w:r>
        <w:rPr>
          <w:rFonts w:hint="eastAsia"/>
          <w:lang w:val="en-US" w:eastAsia="zh-CN"/>
        </w:rPr>
        <w:t>华风数据(深圳)有限公司</w:t>
      </w:r>
      <w:bookmarkEnd w:id="0"/>
      <w:bookmarkEnd w:id="1"/>
    </w:p>
    <w:p>
      <w:pPr>
        <w:pStyle w:val="a1"/>
        <w:bidi w:val="0"/>
        <w:rPr>
          <w:rFonts w:hint="eastAsia"/>
          <w:lang w:val="en-US" w:eastAsia="zh-CN"/>
        </w:rPr>
      </w:pPr>
      <w:bookmarkStart w:id="2" w:name="_Toc1198"/>
      <w:bookmarkStart w:id="3" w:name="_Toc10664"/>
      <w:r>
        <w:rPr>
          <w:rFonts w:hint="eastAsia"/>
          <w:lang w:val="en-US" w:eastAsia="zh-CN"/>
        </w:rPr>
        <w:t>组织级运维服务目录</w:t>
      </w:r>
      <w:bookmarkEnd w:id="2"/>
      <w:bookmarkEnd w:id="3"/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HFSJ-ITSS-0102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3513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bookmarkStart w:id="4" w:name="_Toc4510"/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_Toc6353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华风数据(深圳)有限公司</w:t>
          </w:r>
          <w:r>
            <w:tab/>
          </w:r>
          <w:r>
            <w:fldChar w:fldCharType="begin"/>
          </w:r>
          <w:r>
            <w:instrText xml:space="preserve"> PAGEREF _Toc6353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组织级运维服务目录</w:t>
          </w:r>
          <w:r>
            <w:tab/>
          </w:r>
          <w:r>
            <w:fldChar w:fldCharType="begin"/>
          </w:r>
          <w:r>
            <w:instrText xml:space="preserve"> PAGEREF _Toc1198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术语和定义</w:t>
          </w:r>
          <w:r>
            <w:tab/>
          </w:r>
          <w:r>
            <w:fldChar w:fldCharType="begin"/>
          </w:r>
          <w:r>
            <w:instrText xml:space="preserve"> PAGEREF _Toc28413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公司服务目录表汇总</w:t>
          </w:r>
          <w:r>
            <w:tab/>
          </w:r>
          <w:r>
            <w:fldChar w:fldCharType="begin"/>
          </w:r>
          <w:r>
            <w:instrText xml:space="preserve"> PAGEREF _Toc25355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基础环境运维服务</w:t>
          </w:r>
          <w:r>
            <w:tab/>
          </w:r>
          <w:r>
            <w:fldChar w:fldCharType="begin"/>
          </w:r>
          <w:r>
            <w:instrText xml:space="preserve"> PAGEREF _Toc30692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硬件运维服务</w:t>
          </w:r>
          <w:r>
            <w:tab/>
          </w:r>
          <w:r>
            <w:fldChar w:fldCharType="begin"/>
          </w:r>
          <w:r>
            <w:instrText xml:space="preserve"> PAGEREF _Toc2176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软件运维服务</w:t>
          </w:r>
          <w:r>
            <w:tab/>
          </w:r>
          <w:r>
            <w:fldChar w:fldCharType="begin"/>
          </w:r>
          <w:r>
            <w:instrText xml:space="preserve"> PAGEREF _Toc17060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组织级运维服务目录</w:t>
          </w:r>
          <w:r>
            <w:tab/>
          </w:r>
          <w:r>
            <w:fldChar w:fldCharType="begin"/>
          </w:r>
          <w:r>
            <w:instrText xml:space="preserve"> PAGEREF _Toc1021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rPr>
              <w:rFonts w:ascii="宋体" w:eastAsia="宋体" w:hAnsi="宋体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fldChar w:fldCharType="end"/>
          </w:r>
        </w:p>
      </w:sdtContent>
    </w:sdt>
    <w:p>
      <w:p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>
      <w:p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>
      <w: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eastAsia"/>
          <w:sz w:val="24"/>
          <w:szCs w:val="24"/>
          <w:lang w:val="en-US" w:eastAsia="zh-CN"/>
        </w:rPr>
      </w:pPr>
      <w:bookmarkEnd w:id="4"/>
      <w:bookmarkStart w:id="5" w:name="_Toc28413"/>
      <w:r>
        <w:rPr>
          <w:rFonts w:hint="eastAsia"/>
          <w:sz w:val="24"/>
          <w:szCs w:val="24"/>
          <w:lang w:val="en-US" w:eastAsia="zh-CN"/>
        </w:rPr>
        <w:t>术语和定义</w:t>
      </w:r>
      <w:bookmarkEnd w:id="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7"/>
        <w:gridCol w:w="2019"/>
        <w:gridCol w:w="2805"/>
        <w:gridCol w:w="247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22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服务目录标题</w:t>
            </w:r>
          </w:p>
        </w:tc>
        <w:tc>
          <w:tcPr>
            <w:tcW w:w="20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解释说明</w:t>
            </w:r>
          </w:p>
        </w:tc>
        <w:tc>
          <w:tcPr>
            <w:tcW w:w="280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内容说明</w:t>
            </w:r>
          </w:p>
        </w:tc>
        <w:tc>
          <w:tcPr>
            <w:tcW w:w="247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设计依据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服务类别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定义向客户提供的总体服务种类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分类为:基础环境运维服务/硬件运维服务/软件运维服务等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基于GB/T 29264标准，从整体上定义服务类别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服务范围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特指服务项下所界定的服务范围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如“硬件运维服务”下包括网络运维、主机运维、桌面运维等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从服务销售与购买的角度，需界定明确的服务范围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服务子类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对总体服务种类进行更细的分类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如:网络巡检服务/网络响应支持/网络优化改善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基于GB/T 29264标准，细化服务类别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服务名称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服务子类的具体名称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如:网络设备巡检服务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对服务子类的具体名称描述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服务对象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接受服务的具体设备或系统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如:路由器、交换机、服务器、桌面设备等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明确服务的具体对象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服务简介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针对服务范围内的服务所提供的具体服务活动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如:对网络设备进行定期巡检、状态监控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服务产品的内容组成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服务方式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定义向客户提供的服务支持方式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如:现场/远程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便于客户了解服务交付所提供的支持方式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服务级别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定义向客户提供的服务级别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分类为:高SLA-A/中SLA-B/低SLA-C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不同级别的服务产品对应不同的服务承诺与资源投入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2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交付成果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服务完成后提交的文档或记录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如:巡检单、服务报告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明确服务交付物</w:t>
            </w:r>
          </w:p>
        </w:tc>
      </w:tr>
    </w:tbl>
    <w:p>
      <w:pPr>
        <w:pStyle w:val="1"/>
        <w:bidi w:val="0"/>
        <w:rPr>
          <w:rFonts w:hint="eastAsia"/>
          <w:sz w:val="24"/>
          <w:szCs w:val="24"/>
          <w:lang w:val="en-US" w:eastAsia="zh-CN"/>
        </w:rPr>
      </w:pPr>
      <w:bookmarkStart w:id="6" w:name="_Toc25355"/>
      <w:r>
        <w:rPr>
          <w:rFonts w:hint="eastAsia"/>
          <w:sz w:val="24"/>
          <w:szCs w:val="24"/>
          <w:lang w:val="en-US" w:eastAsia="zh-CN"/>
        </w:rPr>
        <w:t>公司服务目录表汇总</w:t>
      </w:r>
      <w:bookmarkEnd w:id="6"/>
    </w:p>
    <w:p>
      <w:pPr>
        <w:pStyle w:val="2"/>
        <w:bidi w:val="0"/>
        <w:rPr>
          <w:rFonts w:hint="eastAsia"/>
          <w:sz w:val="18"/>
          <w:szCs w:val="18"/>
          <w:lang w:val="en-US" w:eastAsia="zh-CN"/>
        </w:rPr>
      </w:pPr>
      <w:bookmarkStart w:id="7" w:name="_Toc30692"/>
      <w:r>
        <w:rPr>
          <w:rFonts w:hint="eastAsia"/>
          <w:sz w:val="18"/>
          <w:szCs w:val="18"/>
          <w:lang w:val="en-US" w:eastAsia="zh-CN"/>
        </w:rPr>
        <w:t>基础环境运维服务</w:t>
      </w:r>
      <w:bookmarkEnd w:id="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4"/>
        <w:gridCol w:w="2306"/>
        <w:gridCol w:w="1498"/>
        <w:gridCol w:w="290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81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类别</w:t>
            </w:r>
          </w:p>
        </w:tc>
        <w:tc>
          <w:tcPr>
            <w:tcW w:w="230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服务分类</w:t>
            </w:r>
          </w:p>
        </w:tc>
        <w:tc>
          <w:tcPr>
            <w:tcW w:w="14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服务代码</w:t>
            </w:r>
          </w:p>
        </w:tc>
        <w:tc>
          <w:tcPr>
            <w:tcW w:w="290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服务名称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4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基础环境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运维服务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(0401)</w:t>
            </w:r>
          </w:p>
        </w:tc>
        <w:tc>
          <w:tcPr>
            <w:tcW w:w="2306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基础环境运维服务(0401)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0401-01</w:t>
            </w:r>
          </w:p>
        </w:tc>
        <w:tc>
          <w:tcPr>
            <w:tcW w:w="29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基础环境巡检服务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4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306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0401-02</w:t>
            </w:r>
          </w:p>
        </w:tc>
        <w:tc>
          <w:tcPr>
            <w:tcW w:w="29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基础环境响应支持服务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4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306" w:type="dxa"/>
            <w:vMerge/>
            <w:tcBorders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0401-03</w:t>
            </w:r>
          </w:p>
        </w:tc>
        <w:tc>
          <w:tcPr>
            <w:tcW w:w="2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基础环境优化改善服务</w:t>
            </w:r>
          </w:p>
        </w:tc>
      </w:tr>
    </w:tbl>
    <w:p>
      <w:pPr>
        <w:pStyle w:val="2"/>
        <w:bidi w:val="0"/>
        <w:rPr>
          <w:rFonts w:hint="eastAsia"/>
          <w:sz w:val="18"/>
          <w:szCs w:val="18"/>
          <w:lang w:val="en-US" w:eastAsia="zh-CN"/>
        </w:rPr>
      </w:pPr>
      <w:bookmarkStart w:id="8" w:name="_Toc2176"/>
      <w:r>
        <w:rPr>
          <w:rFonts w:hint="eastAsia"/>
          <w:sz w:val="18"/>
          <w:szCs w:val="18"/>
          <w:lang w:val="en-US" w:eastAsia="zh-CN"/>
        </w:rPr>
        <w:t>硬件运维服务</w:t>
      </w:r>
      <w:bookmarkEnd w:id="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6"/>
        <w:gridCol w:w="2830"/>
        <w:gridCol w:w="1511"/>
        <w:gridCol w:w="220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97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类别</w:t>
            </w:r>
          </w:p>
        </w:tc>
        <w:tc>
          <w:tcPr>
            <w:tcW w:w="283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服务分类</w:t>
            </w:r>
          </w:p>
        </w:tc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服务代码</w:t>
            </w:r>
          </w:p>
        </w:tc>
        <w:tc>
          <w:tcPr>
            <w:tcW w:w="2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服务名称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硬件运维服务(0402)</w:t>
            </w:r>
          </w:p>
        </w:tc>
        <w:tc>
          <w:tcPr>
            <w:tcW w:w="283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网络运维服务(040201)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040201-01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网络设备巡检服务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040201-02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网络设备响应支持服务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040201-03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网络设备优化改善服务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主机运维服务(040202)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040202-01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服务器巡检服务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040202-02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服务器响应支持服务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040202-03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服务器优化改善服务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桌面运维服务(040204)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040204-01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桌面设备巡检服务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040204-02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桌面设备响应支持服务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040204-03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桌面设备优化改善服务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其他硬件运维服务(040299)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040299-01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其他硬件巡检服务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040299-02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其他硬件响应支持服务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76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830" w:type="dxa"/>
            <w:vMerge/>
            <w:tcBorders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040299-03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其他硬件优化改善服务</w:t>
            </w:r>
          </w:p>
        </w:tc>
      </w:tr>
    </w:tbl>
    <w:p>
      <w:pPr>
        <w:pStyle w:val="2"/>
        <w:bidi w:val="0"/>
        <w:rPr>
          <w:rFonts w:hint="default"/>
          <w:sz w:val="18"/>
          <w:szCs w:val="18"/>
          <w:lang w:val="en-US" w:eastAsia="zh-CN"/>
        </w:rPr>
      </w:pPr>
      <w:bookmarkStart w:id="9" w:name="_Toc17060"/>
      <w:r>
        <w:rPr>
          <w:rFonts w:hint="eastAsia"/>
          <w:sz w:val="18"/>
          <w:szCs w:val="18"/>
          <w:lang w:val="en-US" w:eastAsia="zh-CN"/>
        </w:rPr>
        <w:t>软件运维服务</w:t>
      </w:r>
      <w:bookmarkEnd w:id="9"/>
    </w:p>
    <w:tbl>
      <w:tblPr>
        <w:tblStyle w:val="TableNormal"/>
        <w:tblW w:w="852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2698"/>
        <w:gridCol w:w="1666"/>
        <w:gridCol w:w="2344"/>
      </w:tblGrid>
      <w:tr>
        <w:tblPrEx>
          <w:tblW w:w="8523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81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类别</w:t>
            </w:r>
          </w:p>
        </w:tc>
        <w:tc>
          <w:tcPr>
            <w:tcW w:w="26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服务分类</w:t>
            </w:r>
          </w:p>
        </w:tc>
        <w:tc>
          <w:tcPr>
            <w:tcW w:w="166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服务代码</w:t>
            </w:r>
          </w:p>
        </w:tc>
        <w:tc>
          <w:tcPr>
            <w:tcW w:w="234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服务名称</w:t>
            </w:r>
          </w:p>
        </w:tc>
      </w:tr>
      <w:tr>
        <w:tblPrEx>
          <w:tblW w:w="852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5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软件运维服务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(0403)</w:t>
            </w:r>
          </w:p>
        </w:tc>
        <w:tc>
          <w:tcPr>
            <w:tcW w:w="2698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应用软件运维服务(040303)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040303-01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应用软件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例行操作</w:t>
            </w:r>
          </w:p>
        </w:tc>
      </w:tr>
      <w:tr>
        <w:tblPrEx>
          <w:tblW w:w="852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5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698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040303-02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应用软件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响应支持</w:t>
            </w:r>
          </w:p>
        </w:tc>
      </w:tr>
      <w:tr>
        <w:tblPrEx>
          <w:tblW w:w="852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5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2698" w:type="dxa"/>
            <w:vMerge/>
            <w:tcBorders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040303-03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应用软件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优化改善</w:t>
            </w:r>
          </w:p>
        </w:tc>
      </w:tr>
    </w:tbl>
    <w:p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il"/>
            <w:left w:val="nil"/>
            <w:bottom w:val="nil"/>
            <w:right w:val="nil"/>
          </w:pgBorders>
          <w:cols w:num="1" w:space="425"/>
          <w:docGrid w:type="lines" w:linePitch="312" w:charSpace="0"/>
        </w:sectPr>
      </w:pPr>
    </w:p>
    <w:p>
      <w:pPr>
        <w:pStyle w:val="1"/>
        <w:bidi w:val="0"/>
        <w:rPr>
          <w:rFonts w:hint="eastAsia"/>
          <w:sz w:val="24"/>
          <w:szCs w:val="24"/>
          <w:lang w:val="en-US" w:eastAsia="zh-CN"/>
        </w:rPr>
      </w:pPr>
      <w:bookmarkStart w:id="10" w:name="_Toc1021"/>
      <w:r>
        <w:rPr>
          <w:rFonts w:hint="eastAsia"/>
          <w:sz w:val="24"/>
          <w:szCs w:val="24"/>
          <w:lang w:val="en-US" w:eastAsia="zh-CN"/>
        </w:rPr>
        <w:t>组织级运维服务目录</w:t>
      </w:r>
      <w:bookmarkEnd w:id="10"/>
    </w:p>
    <w:tbl>
      <w:tblPr>
        <w:tblStyle w:val="TableNormal"/>
        <w:tblW w:w="1417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0" w:type="dxa"/>
          <w:bottom w:w="0" w:type="dxa"/>
          <w:right w:w="0" w:type="dxa"/>
        </w:tblCellMar>
      </w:tblPr>
      <w:tblGrid>
        <w:gridCol w:w="756"/>
        <w:gridCol w:w="1415"/>
        <w:gridCol w:w="1198"/>
        <w:gridCol w:w="1332"/>
        <w:gridCol w:w="2234"/>
        <w:gridCol w:w="2920"/>
        <w:gridCol w:w="825"/>
        <w:gridCol w:w="2763"/>
        <w:gridCol w:w="731"/>
      </w:tblGrid>
      <w:tr>
        <w:tblPrEx>
          <w:tblW w:w="1417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tblHeader/>
          <w:jc w:val="center"/>
        </w:trPr>
        <w:tc>
          <w:tcPr>
            <w:tcW w:w="75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类别</w:t>
            </w:r>
          </w:p>
        </w:tc>
        <w:tc>
          <w:tcPr>
            <w:tcW w:w="141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服务范围</w:t>
            </w:r>
          </w:p>
        </w:tc>
        <w:tc>
          <w:tcPr>
            <w:tcW w:w="11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服务子类</w:t>
            </w:r>
          </w:p>
        </w:tc>
        <w:tc>
          <w:tcPr>
            <w:tcW w:w="133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服务名称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服务对象</w:t>
            </w:r>
          </w:p>
        </w:tc>
        <w:tc>
          <w:tcPr>
            <w:tcW w:w="29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服务内容简介及目标</w:t>
            </w:r>
          </w:p>
        </w:tc>
        <w:tc>
          <w:tcPr>
            <w:tcW w:w="8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服务方式</w:t>
            </w:r>
          </w:p>
        </w:tc>
        <w:tc>
          <w:tcPr>
            <w:tcW w:w="276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服务级别</w:t>
            </w:r>
          </w:p>
        </w:tc>
        <w:tc>
          <w:tcPr>
            <w:tcW w:w="7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交付成果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0401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基础环境运维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default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0401-01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电力、空调、消防、UPS、安防等基础环境的运维例行维护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自动化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、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UPS机房、调度室机房、调控主站机房、数据网机房、通讯机房、通讯机房配网机房、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通讯及机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房电源室等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对基础环境设备进行例行巡检、日常维保，记录UPS运行状态、温度、湿度、烟雾报警等。目标：及时发现潜在隐患，保障基础环境稳定运行。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default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0401-02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电力、空调、消防、UPS、安防等基础环境的运维响应支持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自动化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、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UPS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、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机房、调度室机房、调控主站机房、数据网机房、通讯机房、通讯机房配网机房、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通讯及机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房电源室等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对基础环境设备出现的各类突发故障进行快速响应、精准诊断与有效恢复。目标：在最短时间内恢复故障，最大限度减少对客户业务的干扰和中断影响。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default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0401-03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电力、空调、消防、UPS、安防等基础环境的运维优化改善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自动化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、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UPS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机房、调度室机房、调控主站机房、数据网机房、通讯机房、通讯机房配网机房、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通讯及机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房电源室等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分析基础环境存在的各类问题与潜在风险，提出并实施针对性的优化改善方案。目标：持续提升基础环境的整体可靠性、运行效率及抗风险能力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040201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网络运维服务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040201-01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网络设备巡检服务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路由器、交换机、防火墙、负载均衡等网络设备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定期对路由器、交换机、防火墙进行巡检，保障网络状态稳定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040201-02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网络设备响应支持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路由器、交换机、防火墙、负载均衡等网络设备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及时响应路由器、交换机、防火墙扥网络设备故障，恢复网络运行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040201-03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网络设备优化改善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路由器、交换机、防火墙、负载均衡等网络设备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分析网络设备原因，及时进行优化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040202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主机运维服务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040202-01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主机巡检服务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机架式服务器、PC服务器、小型服务器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定期对服务器进行状态检查、性能监控、系统日志分析，及时发现并处理潜在问题，保障服务器稳定运行。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040202-02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主机响应支持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机架式服务器、PC服务器、小型服务器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及时响应并解决服务器的突发故障，提供技术支持，进行故障诊断与处理，恢复业务正常运行。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040202-03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主机设备优化改善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机架式服务器、PC服务器、小型服务器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分析服务器运行中出现问题的原因，进行系统参数优化、资源配置优化、性能调优，提升服务器运行效率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040204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桌面运维服务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040204-01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桌面设备巡检服务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台式机、工作站、便携式计算机等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定期对桌面设备进行状态检查、系统更新、病毒查杀，及时发现并处理潜在问题，保障用户正常使用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高 SLA-A：巡检每天/次；</w:t>
            </w:r>
          </w:p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中 SLA-B：巡检每周/次；</w:t>
            </w:r>
          </w:p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040204-02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桌面设备响应支持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台式机、工作站、便携式计算机等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及时响应并解决桌面设备的突发故障，提供技术支持，进行故障诊断与处理，恢复设备正常运行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高 SLA-A：服务时间：7×24，15分钟内响应/1小时远程解决/2小时现场；</w:t>
            </w:r>
          </w:p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中 SLA-B：30分钟内响应/2-4小时远程/1工作日现场；</w:t>
            </w:r>
          </w:p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低 SLA-C：2小时内响应/4-8小时远程/2工作日现场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040204-03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桌面设备优化改善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台式机、工作站、便携式计算机等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分析桌面设备运行中出现问题的原因，进行系统优化、软件升级、硬件升级建议，提升用户体验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bookmarkStart w:id="11" w:name="_GoBack" w:colFirst="4" w:colLast="4"/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040299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其他硬件运维服务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040299-01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针对变电站、配电房、发电厂区内的视频监控摄像机、硬盘录像机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等硬件设备例行操作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变电站、配电房、发电厂区内的视频监控摄像机、硬盘录像机等硬件设备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定期对变电站、配电房、发电厂区内的视频监控摄像机（含球机/枪机/防爆摄像机）、硬盘录像机（NVR/DVR）、存储硬盘及传输线路等硬件设备进行状态检查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040299-02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针对变电站、配电房、发电厂区内的视频监控摄像机、硬盘录像机等等硬件设备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响应支持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变电站、配电房、发电厂区内的视频监控摄像机、硬盘录像机等硬件设备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对变电站、配电房、发电厂区内的视频监控摄像机（含球机/枪机/防爆摄像机）、硬盘录像机（NVR/DVR）、存储硬盘及传输线路等硬件设备进行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故障处理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040299-03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针对变电站、配电房、发电厂区内的视频监控摄像机、硬盘录像机等等硬件设备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优化改善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变电站、配电房、发电厂区内的视频监控摄像机、硬盘录像机等硬件设备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定期对变电站、配电房、发电厂区内的视频监控摄像机（含球机/枪机/防爆摄像机）、硬盘录像机（NVR/DVR）、存储硬盘及传输线路等硬件设备进行性能调优、配置优化、硬件升级建议，提升硬件设备运行效率，提交优化改善报告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bookmarkEnd w:id="11"/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040301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基础软件运维服务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040301-01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基础软件例行操作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操作系统、数据库系统、中间件等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定期对操作系统、数据库系统、中间件等基础软件进行状态检查、日志分析、性能监控，及时发现并处理潜在问题，保障基础软件稳定运行，完成巡检记录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040301-02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基础软件响应支持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操作系统、数据库系统、中间件等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及时响应并解决操作系统、数据库系统、中间件等基础软件的突发故障，提供故障诊断、技术支持与修复服务，恢复基础软件正常运行，提交故障处理报告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040301-03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基础软件优化改善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操作系统、数据库系统、中间件等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分析基础软件运行中出现性能问题的原因，进行系统参数优化、版本升级、配置调优，提升基础软件运行效率，提交优化改善报告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040303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应用软件运维服务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040303-01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应用软件例行操作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电力监控系统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定期对电力监控系统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、主数据系统等应用软件进行运行状态检查、日志分析、性能监控，及时发现并处理潜在问题，保障应用软件稳定运行，完成巡检报告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040303-02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应用软件响应支持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电力监控系统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及时响应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电力监控系统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、主数据系统等应用软件的突发故障，对服务请求或故障申报提供及时服务，对应用软件中的参数、数据、权限等进行增删改查操作，提供技术支持，修复故障，按期提交故障处理报告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/>
          <w:jc w:val="center"/>
        </w:trPr>
        <w:tc>
          <w:tcPr>
            <w:tcW w:w="756" w:type="dxa"/>
            <w:vMerge/>
            <w:tcBorders>
              <w:left w:val="single" w:sz="12" w:space="0" w:color="auto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040303-03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应用软件优化改善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电力监控系统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针对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电力监控系统</w:t>
            </w:r>
            <w:r>
              <w:rPr>
                <w:rFonts w:ascii="Arial" w:eastAsia="宋体" w:hint="eastAsia"/>
                <w:b w:val="0"/>
                <w:sz w:val="15"/>
                <w:szCs w:val="15"/>
                <w:lang w:val="en-US" w:eastAsia="zh-CN"/>
              </w:rPr>
              <w:t>、主数据系统等应用软件运行中出现的性能问题，进行分析诊断，找出问题原因和解决方法，进行系统参数优化、功能完善、版本升级，提升应用软件运行效率和用户体验，提交优化改善报告</w:t>
            </w:r>
          </w:p>
        </w:tc>
        <w:tc>
          <w:tcPr>
            <w:tcW w:w="825" w:type="dxa"/>
            <w:vMerge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default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 w:hAnsi="Arial" w:cs="Arial" w:hint="eastAsia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ascii="Arial" w:eastAsia="宋体" w:hint="eastAsia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</w:tbl>
    <w:p>
      <w:pPr>
        <w:pStyle w:val="a2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il"/>
        <w:left w:val="nil"/>
        <w:bottom w:val="nil"/>
        <w:right w:val="nil"/>
      </w:pgBorders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698</Words>
  <Characters>808</Characters>
  <Application>Microsoft Office Word</Application>
  <DocSecurity>0</DocSecurity>
  <Lines>0</Lines>
  <Paragraphs>0</Paragraphs>
  <ScaleCrop>false</ScaleCrop>
  <Company/>
  <LinksUpToDate>false</LinksUpToDate>
  <CharactersWithSpaces>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2026-06-10T08:12:06Z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