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2025年度应急演练预案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_Toc22430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_Toc22430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_Toc24531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演练组织与职责</w:t>
          </w:r>
          <w:r>
            <w:tab/>
          </w:r>
          <w:r>
            <w:fldChar w:fldCharType="begin"/>
          </w:r>
          <w:r>
            <w:instrText xml:space="preserve"> PAGEREF _Toc10808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演练场景与详细流程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_Toc31330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场景一：服务器硬件故障（实战演练）</w:t>
          </w:r>
          <w:r>
            <w:tab/>
          </w:r>
          <w:r>
            <w:fldChar w:fldCharType="begin"/>
          </w:r>
          <w:r>
            <w:instrText xml:space="preserve"> PAGEREF _Toc31330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_Toc20160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场景二：数据库损坏（桌面推演）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_Toc8965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场景三：网络中断（桌面推演）</w:t>
          </w:r>
          <w:r>
            <w:tab/>
          </w:r>
          <w:r>
            <w:fldChar w:fldCharType="begin"/>
          </w:r>
          <w:r>
            <w:instrText xml:space="preserve"> PAGEREF _Toc8965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_Toc13452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场景四：前端设备故障（实战演练）</w:t>
          </w:r>
          <w:r>
            <w:tab/>
          </w:r>
          <w:r>
            <w:fldChar w:fldCharType="begin"/>
          </w:r>
          <w:r>
            <w:instrText xml:space="preserve"> PAGEREF _Toc13452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演练准备工作</w:t>
          </w:r>
          <w:r>
            <w:tab/>
          </w:r>
          <w:r>
            <w:fldChar w:fldCharType="begin"/>
          </w:r>
          <w:r>
            <w:instrText xml:space="preserve"> PAGEREF _Toc3490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_Toc28491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演练实施步骤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演练评估与总结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_Toc26994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评估标准</w:t>
          </w:r>
          <w:r>
            <w:tab/>
          </w:r>
          <w:r>
            <w:fldChar w:fldCharType="begin"/>
          </w:r>
          <w:r>
            <w:instrText xml:space="preserve"> PAGEREF _Toc26994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_Toc17615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演练记录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_Toc27761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应急预案修订</w:t>
          </w:r>
          <w:r>
            <w:tab/>
          </w:r>
          <w:r>
            <w:fldChar w:fldCharType="begin"/>
          </w:r>
          <w:r>
            <w:instrText xml:space="preserve"> PAGEREF _Toc13710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_Toc4764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_Toc21519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演练场景与类型对应表</w:t>
      </w:r>
      <w:r>
        <w:tab/>
      </w:r>
      <w:r>
        <w:fldChar w:fldCharType="begin"/>
      </w:r>
      <w:r>
        <w:instrText xml:space="preserve"> PAGEREF _Toc2178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_Toc4620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场景一演练流程表</w:t>
      </w:r>
      <w:r>
        <w:tab/>
      </w:r>
      <w:r>
        <w:fldChar w:fldCharType="begin"/>
      </w:r>
      <w:r>
        <w:instrText xml:space="preserve"> PAGEREF _Toc32707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_Toc24731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场景二演练流程表</w:t>
      </w:r>
      <w:r>
        <w:tab/>
      </w:r>
      <w:r>
        <w:fldChar w:fldCharType="begin"/>
      </w:r>
      <w:r>
        <w:instrText xml:space="preserve"> PAGEREF _Toc24731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_Toc7018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场景三演练流程表</w:t>
      </w:r>
      <w:r>
        <w:tab/>
      </w:r>
      <w:r>
        <w:fldChar w:fldCharType="begin"/>
      </w:r>
      <w:r>
        <w:instrText xml:space="preserve"> PAGEREF _Toc7018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场景四演练流程表</w:t>
      </w:r>
      <w:r>
        <w:tab/>
      </w:r>
      <w:r>
        <w:fldChar w:fldCharType="begin"/>
      </w:r>
      <w:r>
        <w:instrText xml:space="preserve"> PAGEREF _Toc20508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演练准备信息表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22430"/>
      <w:bookmarkStart w:id="2" w:name="heading_3"/>
      <w:r>
        <w:t>演练目的</w:t>
      </w:r>
      <w:bookmarkEnd w:id="1"/>
      <w:bookmarkEnd w:id="2"/>
    </w:p>
    <w:p>
      <w:pPr>
        <w:pStyle w:val="a2"/>
        <w:bidi w:val="0"/>
      </w:pPr>
      <w:r>
        <w:t>依据大纲第1条，本预案细化为以下具体目标：</w:t>
      </w:r>
    </w:p>
    <w:p>
      <w:pPr>
        <w:pStyle w:val="a4"/>
        <w:numPr>
          <w:ilvl w:val="0"/>
          <w:numId w:val="2"/>
        </w:numPr>
        <w:bidi w:val="0"/>
      </w:pPr>
      <w:r>
        <w:t>验证应急预案中各环节的可操作性，确保预案能够指导实际应急工作</w:t>
      </w:r>
    </w:p>
    <w:p>
      <w:pPr>
        <w:pStyle w:val="a4"/>
        <w:numPr>
          <w:ilvl w:val="0"/>
          <w:numId w:val="2"/>
        </w:numPr>
        <w:bidi w:val="0"/>
      </w:pPr>
      <w:r>
        <w:t>检验应急响应团队从故障发现到业务恢复的全流程处置能力</w:t>
      </w:r>
    </w:p>
    <w:p>
      <w:pPr>
        <w:pStyle w:val="a4"/>
        <w:numPr>
          <w:ilvl w:val="0"/>
          <w:numId w:val="2"/>
        </w:numPr>
        <w:bidi w:val="0"/>
      </w:pPr>
      <w:r>
        <w:t>通过计时和评估，识别响应流程中的短板和改进点</w:t>
      </w:r>
    </w:p>
    <w:p>
      <w:pPr>
        <w:pStyle w:val="a4"/>
        <w:numPr>
          <w:ilvl w:val="0"/>
          <w:numId w:val="2"/>
        </w:numPr>
        <w:bidi w:val="0"/>
      </w:pPr>
      <w:r>
        <w:t>为应急预案修订提供实战依据</w:t>
      </w:r>
    </w:p>
    <w:p>
      <w:pPr>
        <w:pStyle w:val="1"/>
        <w:bidi w:val="0"/>
      </w:pPr>
      <w:bookmarkStart w:id="3" w:name="_Toc24531"/>
      <w:bookmarkStart w:id="4" w:name="heading_4"/>
      <w:r>
        <w:t>演练范围</w:t>
      </w:r>
      <w:bookmarkEnd w:id="3"/>
      <w:bookmarkEnd w:id="4"/>
    </w:p>
    <w:p>
      <w:pPr>
        <w:pStyle w:val="a2"/>
        <w:bidi w:val="0"/>
      </w:pPr>
      <w:r>
        <w:t>依据大纲第2条，本预案明确以下具体安排：</w:t>
      </w:r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519"/>
      <w:bookmarkStart w:id="6" w:name="_Toc21066"/>
      <w:r>
        <w:rPr>
          <w:rFonts w:hint="eastAsia"/>
          <w:lang w:val="en-US" w:eastAsia="zh-CN"/>
        </w:rPr>
        <w:t xml:space="preserve"> 演练基本信息表</w:t>
      </w:r>
      <w:bookmarkEnd w:id="5"/>
      <w:bookmarkEnd w:id="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626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2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演练项目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演练类型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桌面推演 + 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演练时间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2025年（具体时间待定）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演练地点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公司会议室 / 客户现场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参与人员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应急响应团队全体成员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7" w:name="_Toc2178"/>
      <w:r>
        <w:rPr>
          <w:rFonts w:hint="eastAsia"/>
          <w:lang w:val="en-US" w:eastAsia="zh-CN"/>
        </w:rPr>
        <w:t xml:space="preserve"> </w:t>
      </w:r>
      <w:r>
        <w:rPr>
          <w:rStyle w:val="Char0"/>
        </w:rPr>
        <w:t>演练场景与类型对应表</w:t>
      </w:r>
      <w:bookmarkEnd w:id="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3683"/>
        <w:gridCol w:w="229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2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大纲场景</w:t>
            </w:r>
          </w:p>
        </w:tc>
        <w:tc>
          <w:tcPr>
            <w:tcW w:w="36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场景名称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场景一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场景二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桌面推演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场景三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桌面推演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场景四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实战演练</w:t>
            </w:r>
          </w:p>
        </w:tc>
      </w:tr>
    </w:tbl>
    <w:p>
      <w:pPr>
        <w:pStyle w:val="1"/>
        <w:bidi w:val="0"/>
      </w:pPr>
      <w:bookmarkStart w:id="8" w:name="heading_5"/>
      <w:bookmarkStart w:id="9" w:name="_Toc10808"/>
      <w:r>
        <w:t>演练组织与职责</w:t>
      </w:r>
      <w:bookmarkEnd w:id="8"/>
      <w:bookmarkEnd w:id="9"/>
    </w:p>
    <w:p>
      <w:pPr>
        <w:pStyle w:val="a2"/>
        <w:bidi w:val="0"/>
      </w:pPr>
      <w:r>
        <w:t>依据大纲第3条，本预案细化各角色的具体职责：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4620"/>
      <w:r>
        <w:rPr>
          <w:rFonts w:hint="eastAsia"/>
          <w:lang w:val="en-US" w:eastAsia="zh-CN"/>
        </w:rPr>
        <w:t xml:space="preserve"> 演练岗位职责表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673"/>
        <w:gridCol w:w="49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6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9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宣布演练开始和结束，下达关键决策指令，整体把控演练进度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负责演练具体组织，控制各场景时间节点，协调各组工作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负责数据库、系统软件相关问题排查和恢复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负责服务器、网络、现场设备问题排查和恢复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负责备件调配、出入库登记、资源保障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评估观察组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产品质量部专员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负责全程计时、过程记录、评估打分、问题汇总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甲方指定人员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参与演练，验证业务恢复效果，确认演练结果</w:t>
            </w:r>
          </w:p>
        </w:tc>
      </w:tr>
    </w:tbl>
    <w:p>
      <w:pPr>
        <w:pStyle w:val="1"/>
        <w:bidi w:val="0"/>
      </w:pPr>
      <w:bookmarkStart w:id="11" w:name="heading_6"/>
      <w:bookmarkStart w:id="12" w:name="_Toc20842"/>
      <w:r>
        <w:t>演练场景与详细流程</w:t>
      </w:r>
      <w:bookmarkEnd w:id="11"/>
      <w:bookmarkEnd w:id="12"/>
    </w:p>
    <w:p>
      <w:pPr>
        <w:pStyle w:val="2"/>
        <w:bidi w:val="0"/>
      </w:pPr>
      <w:bookmarkStart w:id="13" w:name="_Toc31330"/>
      <w:bookmarkStart w:id="14" w:name="heading_7"/>
      <w:r>
        <w:t>场景一：服务器硬件故障（实战演练）</w:t>
      </w:r>
      <w:bookmarkEnd w:id="13"/>
      <w:bookmarkEnd w:id="14"/>
    </w:p>
    <w:p>
      <w:pPr>
        <w:pStyle w:val="a4"/>
        <w:bidi w:val="0"/>
      </w:pPr>
      <w:r>
        <w:t>对应大纲：场景一</w:t>
      </w:r>
    </w:p>
    <w:p>
      <w:pPr>
        <w:pStyle w:val="a4"/>
        <w:bidi w:val="0"/>
      </w:pPr>
      <w:r>
        <w:t>演练目标：验证服务器故障应急响应能力，测试备用服务器切换流程</w:t>
      </w:r>
    </w:p>
    <w:p>
      <w:pPr>
        <w:pStyle w:val="a4"/>
        <w:bidi w:val="0"/>
      </w:pPr>
      <w:r>
        <w:t>详细流程：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2707"/>
      <w:r>
        <w:rPr>
          <w:rFonts w:hint="eastAsia"/>
          <w:lang w:val="en-US" w:eastAsia="zh-CN"/>
        </w:rPr>
        <w:t xml:space="preserve"> 场景一演练流程表</w:t>
      </w:r>
      <w:bookmarkEnd w:id="15"/>
    </w:p>
    <w:p>
      <w:pPr>
        <w:pStyle w:val="a4"/>
        <w:bidi w:val="0"/>
      </w:pP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1192"/>
        <w:gridCol w:w="4244"/>
        <w:gridCol w:w="213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2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21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演练执行组长模拟服务器硬件故障，系统告警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监控系统发现故障，技术处置组上报运维项目经理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运维项目经理初步判断，上报演练总指挥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演练总指挥宣布启动应急预案，通知全体应急人员到位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技术处置组排查故障，确认硬件故障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技术处置组决定切换至备用服务器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完成备用服务器切换，启动服务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客户代表验证系统功能，确认业务恢复正常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通知客户恢复完成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演练总指挥宣布场景一结束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pStyle w:val="a2"/>
        <w:bidi w:val="0"/>
      </w:pPr>
      <w:r>
        <w:t>预期目标：RTO ≤ 60分钟</w:t>
      </w:r>
    </w:p>
    <w:p>
      <w:pPr>
        <w:pStyle w:val="2"/>
        <w:bidi w:val="0"/>
      </w:pPr>
      <w:bookmarkStart w:id="16" w:name="heading_8"/>
      <w:bookmarkStart w:id="17" w:name="_Toc20160"/>
      <w:r>
        <w:t>场景二：数据库损坏（桌面推演）</w:t>
      </w:r>
      <w:bookmarkEnd w:id="16"/>
      <w:bookmarkEnd w:id="17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：场景二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：验证数据库恢复能力，测试备份恢复流程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24731"/>
      <w:r>
        <w:rPr>
          <w:rFonts w:hint="eastAsia"/>
          <w:lang w:val="en-US" w:eastAsia="zh-CN"/>
        </w:rPr>
        <w:t xml:space="preserve"> 场景二演练流程表</w:t>
      </w:r>
      <w:bookmarkEnd w:id="1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238"/>
        <w:gridCol w:w="4568"/>
        <w:gridCol w:w="173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2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5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演练执行组长模拟数据库损坏，系统报错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服务台专员记录用户报障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运维项目经理分析判断，上报演练总指挥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演练总指挥宣布启动应急预案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技术处置组评估数据损坏范围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确认从最新备份恢复数据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执行数据恢复操作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验证数据完整性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客户代表确认业务恢复正常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演练总指挥宣布场景二结束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60分钟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2"/>
        <w:bidi w:val="0"/>
      </w:pPr>
      <w:bookmarkStart w:id="19" w:name="heading_9"/>
      <w:bookmarkStart w:id="20" w:name="_Toc8965"/>
      <w:r>
        <w:t>场景三：网络中断（桌面推演）</w:t>
      </w:r>
      <w:bookmarkEnd w:id="19"/>
      <w:bookmarkEnd w:id="20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：场景三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：验证网络故障应急响应能力，测试备用线路切换流程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1" w:name="_Toc7018"/>
      <w:r>
        <w:rPr>
          <w:rFonts w:hint="eastAsia"/>
          <w:lang w:val="en-US" w:eastAsia="zh-CN"/>
        </w:rPr>
        <w:t xml:space="preserve"> 场景三演练流程表</w:t>
      </w:r>
      <w:bookmarkEnd w:id="2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演练执行组长模拟场站网络中断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服务台专员记录场站报障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技术处置组排查网络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确认主线路故障，上报演练执行组长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演练总指挥宣布启动备用线路切换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完成备用线路切换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验证网络连通性，业务恢复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通知客户恢复完成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演练总指挥宣布场景三结束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45分钟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2"/>
        <w:bidi w:val="0"/>
      </w:pPr>
      <w:bookmarkStart w:id="22" w:name="heading_10"/>
      <w:bookmarkStart w:id="23" w:name="_Toc13452"/>
      <w:r>
        <w:t>场景四：现场设备故障（实战演练）</w:t>
      </w:r>
      <w:bookmarkEnd w:id="22"/>
      <w:bookmarkEnd w:id="23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：场景四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：验证现场设备故障应急响应能力，测试备件更换流程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0508"/>
      <w:r>
        <w:rPr>
          <w:rFonts w:hint="eastAsia"/>
          <w:lang w:val="en-US" w:eastAsia="zh-CN"/>
        </w:rPr>
        <w:t xml:space="preserve"> 场景四演练流程表</w:t>
      </w:r>
      <w:bookmarkEnd w:id="2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演练执行组长模拟工作站故障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服务台专员记录场站报障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技术处置组远程指导排查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确认设备硬件故障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后勤保障组启动备件更换流程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后勤保障组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备件送达现场，技术处置组更换设备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设备调试完成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客户代表验证业务正常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演练总指挥宣布场景四结束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50分钟</w:t>
      </w:r>
    </w:p>
    <w:p>
      <w:pPr>
        <w:pStyle w:val="1"/>
        <w:bidi w:val="0"/>
      </w:pPr>
      <w:bookmarkStart w:id="25" w:name="heading_11"/>
      <w:bookmarkStart w:id="26" w:name="_Toc3490"/>
      <w:r>
        <w:t>演练准备工作</w:t>
      </w:r>
      <w:bookmarkEnd w:id="25"/>
      <w:bookmarkEnd w:id="26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7" w:name="_Toc21368"/>
      <w:r>
        <w:rPr>
          <w:rFonts w:hint="eastAsia"/>
          <w:lang w:val="en-US" w:eastAsia="zh-CN"/>
        </w:rPr>
        <w:t xml:space="preserve"> 演练准备信息表</w:t>
      </w:r>
      <w:bookmarkEnd w:id="2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4"/>
        <w:gridCol w:w="4010"/>
        <w:gridCol w:w="1705"/>
        <w:gridCol w:w="135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准备项</w:t>
            </w:r>
          </w:p>
        </w:tc>
        <w:tc>
          <w:tcPr>
            <w:tcW w:w="40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17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5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方案准备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编制本预案，明确场景和流程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人员通知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通知所有参演人员时间、地点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演练前3天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客户确认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提前与客户确认演练安排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演练前3天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准备演练所需测试环境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准备备用服务器、备用工作站等备件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后勤保障组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工具准备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准备计时器、记录表、评估表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签到准备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准备《应急演练签到表》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</w:tbl>
    <w:p>
      <w:pPr>
        <w:pStyle w:val="1"/>
        <w:bidi w:val="0"/>
      </w:pPr>
      <w:bookmarkStart w:id="28" w:name="heading_12"/>
      <w:bookmarkStart w:id="29" w:name="_Toc28491"/>
      <w:r>
        <w:t>演练实施步骤</w:t>
      </w:r>
      <w:bookmarkEnd w:id="28"/>
      <w:bookmarkEnd w:id="29"/>
    </w:p>
    <w:p>
      <w:pPr>
        <w:pStyle w:val="a2"/>
      </w:pP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1831"/>
        <w:gridCol w:w="3105"/>
        <w:gridCol w:w="180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演练启动会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演练前30分钟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介绍演练方案，明确分工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场景一演练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0-60分钟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服务器硬件故障实战演练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60-70分钟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总结场景一，准备场景二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场景二演练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70-130分钟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数据库损坏桌面推演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130-140分钟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总结场景二，准备场景三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场景三演练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140-185分钟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网络中断桌面推演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185-195分钟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总结场景三，准备场景四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场景四演练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195-245分钟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现场设备故障实战演练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演练总结会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245-275分钟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评估总结，记录问题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0" w:name="heading_13"/>
      <w:bookmarkStart w:id="31" w:name="_Toc451"/>
      <w:r>
        <w:t>演练评估与总结</w:t>
      </w:r>
      <w:bookmarkEnd w:id="30"/>
      <w:bookmarkEnd w:id="31"/>
    </w:p>
    <w:p>
      <w:pPr>
        <w:pStyle w:val="2"/>
        <w:bidi w:val="0"/>
      </w:pPr>
      <w:bookmarkStart w:id="32" w:name="_Toc26994"/>
      <w:bookmarkStart w:id="33" w:name="heading_14"/>
      <w:r>
        <w:t>评估标准</w:t>
      </w:r>
      <w:bookmarkEnd w:id="32"/>
      <w:bookmarkEnd w:id="33"/>
    </w:p>
    <w:p>
      <w:pPr>
        <w:pStyle w:val="a2"/>
        <w:bidi w:val="0"/>
      </w:pPr>
      <w:r>
        <w:t>依据大纲第5条，制定以下评估标准：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07"/>
        <w:gridCol w:w="4043"/>
        <w:gridCol w:w="133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0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0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是否在规定时间内响应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处置规范性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是否按应急预案执行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技术操作准确性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技术操作是否正确有效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团队协作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团队配合是否顺畅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信息报告是否及时准确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恢复时效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是否在RTO内完成恢复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评估等级</w:t>
      </w:r>
      <w:r>
        <w:rPr>
          <w:rStyle w:val="Char"/>
        </w:rPr>
        <w:t>：</w:t>
      </w:r>
    </w:p>
    <w:p>
      <w:pPr>
        <w:pStyle w:val="a4"/>
        <w:numPr>
          <w:ilvl w:val="0"/>
          <w:numId w:val="3"/>
        </w:numPr>
        <w:bidi w:val="0"/>
      </w:pPr>
      <w:r>
        <w:t>优秀：≥90分</w:t>
      </w:r>
      <w:bookmarkStart w:id="34" w:name="_GoBack"/>
      <w:bookmarkEnd w:id="34"/>
    </w:p>
    <w:p>
      <w:pPr>
        <w:pStyle w:val="a4"/>
        <w:numPr>
          <w:ilvl w:val="0"/>
          <w:numId w:val="3"/>
        </w:numPr>
        <w:bidi w:val="0"/>
      </w:pPr>
      <w:r>
        <w:t>良好：75-89分</w:t>
      </w:r>
    </w:p>
    <w:p>
      <w:pPr>
        <w:pStyle w:val="a4"/>
        <w:numPr>
          <w:ilvl w:val="0"/>
          <w:numId w:val="3"/>
        </w:numPr>
        <w:bidi w:val="0"/>
      </w:pPr>
      <w:r>
        <w:t>合格：60-74分</w:t>
      </w:r>
    </w:p>
    <w:p>
      <w:pPr>
        <w:pStyle w:val="a4"/>
        <w:numPr>
          <w:ilvl w:val="0"/>
          <w:numId w:val="3"/>
        </w:numPr>
        <w:bidi w:val="0"/>
      </w:pPr>
      <w:r>
        <w:t>不合格：&lt;60分</w:t>
      </w:r>
    </w:p>
    <w:p>
      <w:pPr>
        <w:pStyle w:val="2"/>
        <w:bidi w:val="0"/>
      </w:pPr>
      <w:bookmarkStart w:id="35" w:name="_Toc17615"/>
      <w:bookmarkStart w:id="36" w:name="heading_15"/>
      <w:r>
        <w:t>演练记录</w:t>
      </w:r>
      <w:bookmarkEnd w:id="35"/>
      <w:bookmarkEnd w:id="36"/>
    </w:p>
    <w:p>
      <w:pPr>
        <w:pStyle w:val="a2"/>
        <w:bidi w:val="0"/>
      </w:pPr>
      <w:r>
        <w:t>评估观察组负责全程记录以下内容：</w:t>
      </w:r>
    </w:p>
    <w:p>
      <w:pPr>
        <w:pStyle w:val="a4"/>
        <w:numPr>
          <w:ilvl w:val="0"/>
          <w:numId w:val="4"/>
        </w:numPr>
        <w:bidi w:val="0"/>
      </w:pPr>
      <w:r>
        <w:t>各阶段开始和结束时间</w:t>
      </w:r>
    </w:p>
    <w:p>
      <w:pPr>
        <w:pStyle w:val="a4"/>
        <w:numPr>
          <w:ilvl w:val="0"/>
          <w:numId w:val="4"/>
        </w:numPr>
        <w:bidi w:val="0"/>
      </w:pPr>
      <w:r>
        <w:t>关键决策和操作</w:t>
      </w:r>
    </w:p>
    <w:p>
      <w:pPr>
        <w:pStyle w:val="a4"/>
        <w:numPr>
          <w:ilvl w:val="0"/>
          <w:numId w:val="4"/>
        </w:numPr>
        <w:bidi w:val="0"/>
      </w:pPr>
      <w:r>
        <w:t>出现的问题和偏差</w:t>
      </w:r>
    </w:p>
    <w:p>
      <w:pPr>
        <w:pStyle w:val="a4"/>
        <w:numPr>
          <w:ilvl w:val="0"/>
          <w:numId w:val="4"/>
        </w:numPr>
        <w:bidi w:val="0"/>
      </w:pPr>
      <w:r>
        <w:t>超时或异常情况</w:t>
      </w:r>
    </w:p>
    <w:p>
      <w:pPr>
        <w:pStyle w:val="2"/>
        <w:bidi w:val="0"/>
      </w:pPr>
      <w:bookmarkStart w:id="37" w:name="_Toc27761"/>
      <w:bookmarkStart w:id="38" w:name="heading_16"/>
      <w:r>
        <w:t>演练总结</w:t>
      </w:r>
      <w:bookmarkEnd w:id="37"/>
      <w:bookmarkEnd w:id="38"/>
    </w:p>
    <w:p>
      <w:pPr>
        <w:pStyle w:val="a2"/>
        <w:bidi w:val="0"/>
      </w:pPr>
      <w:r>
        <w:t>演练结束后，评估观察组编制《应急演练总结报告》，内容包括：</w:t>
      </w:r>
    </w:p>
    <w:p>
      <w:pPr>
        <w:pStyle w:val="a4"/>
        <w:numPr>
          <w:ilvl w:val="0"/>
          <w:numId w:val="5"/>
        </w:numPr>
        <w:bidi w:val="0"/>
      </w:pPr>
      <w:r>
        <w:t>演练基本情况</w:t>
      </w:r>
    </w:p>
    <w:p>
      <w:pPr>
        <w:pStyle w:val="a4"/>
        <w:numPr>
          <w:ilvl w:val="0"/>
          <w:numId w:val="5"/>
        </w:numPr>
        <w:bidi w:val="0"/>
      </w:pPr>
      <w:r>
        <w:t>演练过程记录</w:t>
      </w:r>
    </w:p>
    <w:p>
      <w:pPr>
        <w:pStyle w:val="a4"/>
        <w:numPr>
          <w:ilvl w:val="0"/>
          <w:numId w:val="5"/>
        </w:numPr>
        <w:bidi w:val="0"/>
      </w:pPr>
      <w:r>
        <w:t>各场景评估结果</w:t>
      </w:r>
    </w:p>
    <w:p>
      <w:pPr>
        <w:pStyle w:val="a4"/>
        <w:numPr>
          <w:ilvl w:val="0"/>
          <w:numId w:val="5"/>
        </w:numPr>
        <w:bidi w:val="0"/>
      </w:pPr>
      <w:r>
        <w:t>发现的问题和不足</w:t>
      </w:r>
    </w:p>
    <w:p>
      <w:pPr>
        <w:pStyle w:val="a4"/>
        <w:numPr>
          <w:ilvl w:val="0"/>
          <w:numId w:val="5"/>
        </w:numPr>
        <w:bidi w:val="0"/>
      </w:pPr>
      <w:r>
        <w:t>改进措施和建议</w:t>
      </w:r>
    </w:p>
    <w:p>
      <w:pPr>
        <w:pStyle w:val="a4"/>
        <w:numPr>
          <w:ilvl w:val="0"/>
          <w:numId w:val="5"/>
        </w:numPr>
        <w:bidi w:val="0"/>
      </w:pPr>
      <w:r>
        <w:t>应急预案修订建议</w:t>
      </w:r>
    </w:p>
    <w:p>
      <w:pPr>
        <w:pStyle w:val="1"/>
        <w:bidi w:val="0"/>
      </w:pPr>
      <w:bookmarkStart w:id="39" w:name="_Toc13710"/>
      <w:bookmarkStart w:id="40" w:name="heading_17"/>
      <w:r>
        <w:t>应急预案修订</w:t>
      </w:r>
      <w:bookmarkEnd w:id="39"/>
      <w:bookmarkEnd w:id="40"/>
    </w:p>
    <w:p>
      <w:pPr>
        <w:pStyle w:val="a2"/>
        <w:bidi w:val="0"/>
      </w:pPr>
      <w:r>
        <w:t>根据演练发现的问题，对《应急预案》进行修订</w:t>
      </w:r>
      <w:r>
        <w:rPr>
          <w:rFonts w:hint="eastAsia"/>
          <w:lang w:eastAsia="zh-CN"/>
        </w:rPr>
        <w:t>，</w:t>
      </w:r>
      <w:r>
        <w:t>修订后的应急预案经运维部经理审核、副总经理批准后发布执行。</w:t>
      </w:r>
    </w:p>
    <w:p>
      <w:pPr>
        <w:pStyle w:val="1"/>
        <w:bidi w:val="0"/>
      </w:pPr>
      <w:bookmarkStart w:id="41" w:name="_Toc4764"/>
      <w:bookmarkStart w:id="42" w:name="heading_18"/>
      <w:r>
        <w:t>附件</w:t>
      </w:r>
      <w:bookmarkEnd w:id="41"/>
      <w:bookmarkEnd w:id="4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3377"/>
        <w:gridCol w:w="2853"/>
        <w:gridCol w:w="128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附件名称</w:t>
            </w:r>
          </w:p>
        </w:tc>
        <w:tc>
          <w:tcPr>
            <w:tcW w:w="28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2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使用阶段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《应急演练签到表》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记录参演人员签到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《应急演练评估表》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记录各场景评估得分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《应急演练问题记录表》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记录演练中发现的问题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《应急演练总结报告》模板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演练后编制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演练后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48B4C4"/>
    <w:multiLevelType w:val="singleLevel"/>
    <w:tmpl w:val="C648B4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350261"/>
    <w:multiLevelType w:val="singleLevel"/>
    <w:tmpl w:val="E235026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662DDC9"/>
    <w:multiLevelType w:val="singleLevel"/>
    <w:tmpl w:val="E662DD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C10327"/>
    <w:multiLevelType w:val="singleLevel"/>
    <w:tmpl w:val="20C103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1956</Words>
  <Characters>2116</Characters>
  <Application>Microsoft Office Word</Application>
  <DocSecurity>0</DocSecurity>
  <Lines>0</Lines>
  <Paragraphs>0</Paragraphs>
  <ScaleCrop>false</ScaleCrop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