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1" w:name="_Toc10664"/>
      <w:r>
        <w:rPr>
          <w:rFonts w:hint="eastAsia"/>
          <w:lang w:val="en-US" w:eastAsia="zh-CN"/>
        </w:rPr>
        <w:t>组织架构及职责说明</w:t>
      </w:r>
      <w:bookmarkEnd w:id="1"/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HFSJ-ITSS-0201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1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83513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</w:pPr>
          <w:bookmarkStart w:id="2" w:name="_Toc4510"/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_Toc30861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1. 组织架构</w:t>
          </w:r>
          <w:r>
            <w:tab/>
          </w:r>
          <w:r>
            <w:fldChar w:fldCharType="begin"/>
          </w:r>
          <w:r>
            <w:instrText xml:space="preserve"> PAGEREF _Toc30861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_Toc19038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 部门职责说明</w:t>
          </w:r>
          <w:r>
            <w:tab/>
          </w:r>
          <w:r>
            <w:fldChar w:fldCharType="begin"/>
          </w:r>
          <w:r>
            <w:instrText xml:space="preserve"> PAGEREF _Toc19038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_Toc29248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 管理层</w:t>
          </w:r>
          <w:r>
            <w:tab/>
          </w:r>
          <w:r>
            <w:fldChar w:fldCharType="begin"/>
          </w:r>
          <w:r>
            <w:instrText xml:space="preserve"> PAGEREF _Toc29248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_Toc21323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2.1.1. 总经理</w:t>
          </w:r>
          <w:r>
            <w:tab/>
          </w:r>
          <w:r>
            <w:fldChar w:fldCharType="begin"/>
          </w:r>
          <w:r>
            <w:instrText xml:space="preserve"> PAGEREF _Toc21323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_Toc21507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2.1.2. </w:t>
          </w:r>
          <w:r>
            <w:rPr>
              <w:rFonts w:hint="eastAsia"/>
              <w:lang w:val="en-US" w:eastAsia="zh-CN"/>
            </w:rPr>
            <w:t>副总经理</w:t>
          </w:r>
          <w:r>
            <w:tab/>
          </w:r>
          <w:r>
            <w:fldChar w:fldCharType="begin"/>
          </w:r>
          <w:r>
            <w:instrText xml:space="preserve"> PAGEREF _Toc21507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_Toc7300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2.2. 综合部</w:t>
          </w:r>
          <w:r>
            <w:tab/>
          </w:r>
          <w:r>
            <w:fldChar w:fldCharType="begin"/>
          </w:r>
          <w:r>
            <w:instrText xml:space="preserve"> PAGEREF _Toc7300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2.3. 产品质量部</w:t>
          </w:r>
          <w:r>
            <w:tab/>
          </w:r>
          <w:r>
            <w:fldChar w:fldCharType="begin"/>
          </w:r>
          <w:r>
            <w:instrText xml:space="preserve"> PAGEREF _Toc120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2.4. 研发部</w:t>
          </w:r>
          <w:r>
            <w:tab/>
          </w:r>
          <w:r>
            <w:fldChar w:fldCharType="begin"/>
          </w:r>
          <w:r>
            <w:instrText xml:space="preserve"> PAGEREF _Toc1001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_Toc29853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_Toc29853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_Toc22170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>2.5.1. 服务台</w:t>
          </w:r>
          <w:r>
            <w:tab/>
          </w:r>
          <w:r>
            <w:fldChar w:fldCharType="begin"/>
          </w:r>
          <w:r>
            <w:instrText xml:space="preserve"> PAGEREF _Toc22170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2.5.2. </w:t>
          </w:r>
          <w:r>
            <w:rPr>
              <w:rFonts w:hint="eastAsia"/>
              <w:lang w:val="en-US" w:eastAsia="zh-CN"/>
            </w:rPr>
            <w:t>备件库</w:t>
          </w:r>
          <w:r>
            <w:tab/>
          </w:r>
          <w:r>
            <w:fldChar w:fldCharType="begin"/>
          </w:r>
          <w:r>
            <w:instrText xml:space="preserve"> PAGEREF _Toc25799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3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_Toc27780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2.5.3. </w:t>
          </w:r>
          <w:r>
            <w:rPr>
              <w:rFonts w:hint="eastAsia"/>
              <w:lang w:val="en-US" w:eastAsia="zh-CN"/>
            </w:rPr>
            <w:t>服务知识</w:t>
          </w:r>
          <w:r>
            <w:tab/>
          </w:r>
          <w:r>
            <w:fldChar w:fldCharType="begin"/>
          </w:r>
          <w:r>
            <w:instrText xml:space="preserve"> PAGEREF _Toc27780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_Toc4719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_Toc4719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_Toc11637 </w:instrText>
          </w:r>
          <w: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应急管理部</w:t>
          </w:r>
          <w:r>
            <w:tab/>
          </w:r>
          <w:r>
            <w:fldChar w:fldCharType="begin"/>
          </w:r>
          <w:r>
            <w:instrText xml:space="preserve"> PAGEREF _Toc11637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>
          <w:r>
            <w:fldChar w:fldCharType="end"/>
          </w:r>
        </w:p>
      </w:sdtContent>
    </w:sdt>
    <w:p>
      <w:pPr>
        <w:jc w:val="center"/>
        <w:rPr>
          <w:rFonts w:eastAsia="宋体" w:hint="default"/>
          <w:lang w:val="en-US" w:eastAsia="zh-CN"/>
        </w:rPr>
      </w:pPr>
      <w:r>
        <w:rPr>
          <w:rFonts w:hint="eastAsia"/>
          <w:lang w:val="en-US" w:eastAsia="zh-CN"/>
        </w:rPr>
        <w:t>图目录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"图"</w:instrText>
      </w:r>
      <w:r>
        <w:fldChar w:fldCharType="separate"/>
      </w:r>
      <w:r>
        <w:fldChar w:fldCharType="begin"/>
      </w:r>
      <w:r>
        <w:instrText xml:space="preserve"> HYPERLINK \l _Toc3708 </w:instrText>
      </w:r>
      <w:r>
        <w:fldChar w:fldCharType="separate"/>
      </w: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组织架构图</w:t>
      </w:r>
      <w:r>
        <w:tab/>
      </w:r>
      <w:r>
        <w:fldChar w:fldCharType="begin"/>
      </w:r>
      <w:r>
        <w:instrText xml:space="preserve"> PAGEREF _Toc3708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r>
        <w:fldChar w:fldCharType="end"/>
      </w:r>
    </w:p>
    <w:p>
      <w:pPr>
        <w:rPr>
          <w:rFonts w:hint="default"/>
          <w:lang w:val="en-US" w:eastAsia="zh-CN"/>
        </w:rPr>
      </w:pPr>
      <w:bookmarkEnd w:id="2"/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30861"/>
      <w:r>
        <w:rPr>
          <w:rFonts w:hint="default"/>
          <w:lang w:val="en-US" w:eastAsia="zh-CN"/>
        </w:rPr>
        <w:t>组织架构</w:t>
      </w:r>
      <w:bookmarkEnd w:id="3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华风数据(深圳)有限公司主营业务:云计算及大数据技术和相关产品、数据采</w:t>
      </w:r>
      <w:bookmarkStart w:id="4" w:name="_GoBack"/>
      <w:r>
        <w:rPr>
          <w:rFonts w:hint="default"/>
          <w:lang w:val="en-US" w:eastAsia="zh-CN"/>
        </w:rPr>
        <w:t>集及处理、数据可视化技术领域内的技术研发、技术咨询;物联网、互联网的技术开发;计算机软硬件、电子产品、智能仪器仪表的技术开发、设计与销售;系统集成服务。</w:t>
      </w:r>
    </w:p>
    <w:p>
      <w:pPr>
        <w:pStyle w:val="a1"/>
        <w:bidi w:val="0"/>
        <w:rPr>
          <w:rFonts w:hint="eastAsia"/>
          <w:lang w:eastAsia="zh-CN"/>
        </w:rPr>
      </w:pPr>
      <w:r>
        <w:rPr>
          <w:rFonts w:hint="eastAsia"/>
        </w:rPr>
        <w:t>公司是一家提供新能源行业智慧企业解决方案和SaaS服务的创新型互联网企业。已通过了国家高新技术企业和双软认证</w:t>
      </w:r>
      <w:r>
        <w:rPr>
          <w:rFonts w:hint="eastAsia"/>
          <w:lang w:eastAsia="zh-CN"/>
        </w:rPr>
        <w:t>。</w:t>
      </w:r>
    </w:p>
    <w:p>
      <w:pPr>
        <w:pStyle w:val="a1"/>
        <w:bidi w:val="0"/>
        <w:rPr>
          <w:rFonts w:hint="eastAsia"/>
          <w:lang w:val="en-US" w:eastAsia="zh-CN"/>
        </w:rPr>
      </w:pPr>
      <w:bookmarkEnd w:id="4"/>
      <w:r>
        <w:rPr>
          <w:rFonts w:hint="eastAsia"/>
          <w:lang w:val="en-US" w:eastAsia="zh-CN"/>
        </w:rPr>
        <w:t>组织架构图如图1-1所示</w:t>
      </w:r>
    </w:p>
    <w:p>
      <w:pPr>
        <w:pStyle w:val="a1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图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图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" w:name="_Toc3708"/>
      <w:r>
        <w:rPr>
          <w:rFonts w:hint="eastAsia"/>
          <w:lang w:val="en-US" w:eastAsia="zh-CN"/>
        </w:rPr>
        <w:t xml:space="preserve"> 组织架构图</w:t>
      </w:r>
      <w:bookmarkEnd w:id="5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height:241.2pt;width:400.2pt" o:oleicon="f" o:ole="" coordsize="21600,21600" o:preferrelative="t" filled="f" stroked="f">
            <v:imagedata r:id="rId4" o:title=""/>
            <o:lock v:ext="edit" aspectratio="t"/>
            <w10:anchorlock/>
          </v:shape>
          <o:OLEObject Type="Embed" ProgID="Visio.Drawing.15" ShapeID="_x0000_i1025" DrawAspect="Content" ObjectID="_1468075725" r:id="rId5"/>
        </w:objec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与运维服务相关的部门有：综合部、产品质量部、研发部、运维部</w:t>
      </w:r>
      <w:r>
        <w:rPr>
          <w:rFonts w:hint="eastAsia"/>
          <w:lang w:val="en-US" w:eastAsia="zh-CN"/>
        </w:rPr>
        <w:t>、采购部以及应急管理部</w:t>
      </w:r>
      <w:r>
        <w:rPr>
          <w:rFonts w:hint="default"/>
          <w:lang w:val="en-US" w:eastAsia="zh-CN"/>
        </w:rPr>
        <w:t>。</w:t>
      </w:r>
      <w:r>
        <w:rPr>
          <w:rFonts w:hint="eastAsia"/>
          <w:lang w:val="en-US" w:eastAsia="zh-CN"/>
        </w:rPr>
        <w:t>其中运维部下设服务台、备件库、服务知识</w:t>
      </w:r>
    </w:p>
    <w:p>
      <w:pPr>
        <w:pStyle w:val="1"/>
        <w:bidi w:val="0"/>
        <w:rPr>
          <w:rFonts w:hint="default"/>
          <w:lang w:val="en-US" w:eastAsia="zh-CN"/>
        </w:rPr>
      </w:pPr>
      <w:bookmarkStart w:id="6" w:name="_Toc19038"/>
      <w:r>
        <w:rPr>
          <w:rFonts w:hint="default"/>
          <w:lang w:val="en-US" w:eastAsia="zh-CN"/>
        </w:rPr>
        <w:t>部门职责说明</w:t>
      </w:r>
      <w:bookmarkEnd w:id="6"/>
    </w:p>
    <w:p>
      <w:pPr>
        <w:pStyle w:val="2"/>
        <w:bidi w:val="0"/>
        <w:rPr>
          <w:rFonts w:hint="default"/>
          <w:lang w:val="en-US" w:eastAsia="zh-CN"/>
        </w:rPr>
      </w:pPr>
      <w:bookmarkStart w:id="7" w:name="_Toc29248"/>
      <w:r>
        <w:rPr>
          <w:rFonts w:hint="default"/>
          <w:lang w:val="en-US" w:eastAsia="zh-CN"/>
        </w:rPr>
        <w:t>管理层</w:t>
      </w:r>
      <w:bookmarkEnd w:id="7"/>
    </w:p>
    <w:p>
      <w:pPr>
        <w:pStyle w:val="3"/>
        <w:bidi w:val="0"/>
        <w:rPr>
          <w:rFonts w:hint="default"/>
          <w:lang w:val="en-US" w:eastAsia="zh-CN"/>
        </w:rPr>
      </w:pPr>
      <w:bookmarkStart w:id="8" w:name="_Toc21323"/>
      <w:r>
        <w:rPr>
          <w:rFonts w:hint="default"/>
          <w:lang w:val="en-US" w:eastAsia="zh-CN"/>
        </w:rPr>
        <w:t>总经理</w:t>
      </w:r>
      <w:bookmarkEnd w:id="8"/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战略统筹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主持公司全面工作，统筹公司整体发展战略和经营目标的制定与实现。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统筹公司年度工作计划和财务预算的审批与资源配置。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统筹公司日常经营管理工作，加强员工队伍建设，提升组织效能。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统筹公司运维服务体系的顶层设计，确保运维服务方向与公司战略一致。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统筹运维服务资源的整体配置，为运维服务提供必要的人力、财力和物力保障。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主持运维服务管理体系的管理评审，审批运维服务管理体系的内审报告和管评报告。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质量与改进统筹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统筹推动公司运维服务质量的持续提高，组织相关部门通过工作实践、教育培训、业务指导等方式，不断提升员工对满足客户需求重要性的认知程度。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统筹重大质量问题的决策和改进资源的调配。</w:t>
      </w:r>
    </w:p>
    <w:p>
      <w:pPr>
        <w:pStyle w:val="a1"/>
        <w:numPr>
          <w:ilvl w:val="0"/>
          <w:numId w:val="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文化引领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秉承公司“创新、合作、共赢”的发展理念，统筹企业文化建设，引领公司成为行业领军者。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9" w:name="_Toc21507"/>
      <w:r>
        <w:rPr>
          <w:rFonts w:hint="eastAsia"/>
          <w:lang w:val="en-US" w:eastAsia="zh-CN"/>
        </w:rPr>
        <w:t>副总经理</w:t>
      </w:r>
      <w:bookmarkEnd w:id="9"/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体系统筹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全面统筹运维服务管理体系的建立、实施和改进，确保体系有效运行。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统筹运维服务管理体系文件的制定、评审和更新，确保体系文件的适宜性和有效性。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汇报与沟通统筹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向总经理报告运维服务体系的运行情况，统筹提出改进建议和资源需求。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统筹与外部方的协调沟通，确保外部审核和客户要求的有效落实。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部门协同统筹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统筹协调运维部、研发部、产品质量部、综合部、采购部、应急管理部在运维服务体系中的协同运作，确保各部门职责有效落实。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统筹跨部门重大事项的协调，推动运维服务问题的闭环解决。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内审与管理评审统筹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统筹组织运维服务体系的内审工作，确保内审计划的制定和执行，跟踪内审发现问题的整改落实。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统筹管理评审的输入准备和输出跟踪，确保管理评审决议的有效实施。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意识与文化统筹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统筹确保运维服务人员理解客户需求和法规要求，推动服务意识的持续提升。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统筹运维服务文化的建设和推广，营造以客户为中心的服务氛围。</w:t>
      </w:r>
    </w:p>
    <w:p>
      <w:pPr>
        <w:pStyle w:val="a1"/>
        <w:numPr>
          <w:ilvl w:val="0"/>
          <w:numId w:val="3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改进统筹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统筹运维服务体系的持续改进工作，推动各部门落实改进措施。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统筹重大服务问题的复盘和改进跟踪。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0" w:name="_Toc7300"/>
      <w:r>
        <w:rPr>
          <w:rFonts w:hint="default"/>
          <w:lang w:val="en-US" w:eastAsia="zh-CN"/>
        </w:rPr>
        <w:t>综合部</w:t>
      </w:r>
      <w:bookmarkEnd w:id="10"/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人力资源规划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根据组织架构，完成部门架构、人员的定岗定编、岗位说明书的编制与维护；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人才队伍的建设及人力资源成本的有效控制；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向公司管理层提供人力资源工作的意见和建议，提供决策支持。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招聘与配置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建立并完善招聘体系，制定年度招聘计划；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负责人员需求的收集、分析及招聘工作的组织实施；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建立人才储备机制，确保关键岗位人员及时补充。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培训与开发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建立并完善培训体系，制定年度培训计划；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组织实施新员工入职培训、岗位技能培训、ITSS体系培训等；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跟踪培训效果，形成《培训效果评估报告》，持续优化培训工作。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绩效管理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建立并完善绩效管理体系，制定绩效考核方案；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组织季度/年度绩效考核工作，确保考核公平、公正、有效；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将考核结果应用于薪酬调整、岗位晋升、人员优化等。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薪酬与福利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建立并完善薪酬福利体系，确保薪酬的竞争力和公平性；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负责员工工资核算与发放、社保公积金缴纳；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负责员工福利的策划与实施（节假日福利、礼品发放等）。</w:t>
      </w:r>
    </w:p>
    <w:p>
      <w:pPr>
        <w:pStyle w:val="a1"/>
        <w:numPr>
          <w:ilvl w:val="0"/>
          <w:numId w:val="4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员工关系与企业文化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负责员工入职、转正、调动、离职等手续办理；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及时处理公司管理过程中的重大人力资源问题；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推进公司企业文化建设，组织团队建设活动，提高团队战斗力。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1" w:name="_Toc120"/>
      <w:r>
        <w:rPr>
          <w:rFonts w:hint="default"/>
          <w:lang w:val="en-US" w:eastAsia="zh-CN"/>
        </w:rPr>
        <w:t>产品质量部</w:t>
      </w:r>
      <w:bookmarkEnd w:id="11"/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质量管理规划与总结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负责年度质量管理工作规划的制定，以及质量方面改进工作的总结。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质量管理体系建设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制定公司质量管理体系，包括：制定公司质量方针和目标、ITSS运维体系、实施员工质量管理体系培训。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内部审核与管理评审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负责组织公司的内审、管理评审工作；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内审员不得审核本部门，审核依据应包含SLA协议、客户需求及法律法规。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不符合项管理与持续改进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对不符合改进工作做好持续监督，建立改进跟踪机制。</w:t>
      </w:r>
    </w:p>
    <w:p>
      <w:pPr>
        <w:pStyle w:val="a1"/>
        <w:numPr>
          <w:ilvl w:val="0"/>
          <w:numId w:val="5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客户满意度管理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建立公司客户满意度调查制度和机制，制定组织级客户满意度调查、分析、改进的计划和目标；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调查维度、频率、计算公式应与制度及KPI保持一致，需覆盖典型项目；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跟踪相关部门进行问题的改善工作，并监控整改落实。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2" w:name="_Toc1001"/>
      <w:r>
        <w:rPr>
          <w:rFonts w:hint="default"/>
          <w:lang w:val="en-US" w:eastAsia="zh-CN"/>
        </w:rPr>
        <w:t>研发部</w:t>
      </w:r>
      <w:bookmarkEnd w:id="12"/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技术规划与研发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负责对运维技术适应性展开调研，确定适合的技术路线，拟定运维技术的研发规划，并按规划执行；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负责研究与发现问题相关的技术，研发信息采集和监控的手段，研发问题和潜在风险诊断、分析的方法，制定相关的诊断方案或手册；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负责研究与解决问题相关的技术，研发排除潜在风险和故障，恢复服务的技术和手段，制定解决问题的技术指标或标准、解决问题的方案或手册和解决问题的验证标准和方法。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运维工具研发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负责运维工具的自主研发、升级与更新；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制定工具研发计划，明确里程碑和交付物；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工具研发应遵循公司统一的编码规范、安全规范、文档规范。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运维工具运维与支持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负责运维工具的日常运行监控、故障处理、性能优化；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建立工具问题响应机制，对工具使用过程中发现的问题及时修复；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负责配置数据库维护、系统安全检测，保证运维过程管理工具功能和性能的适应性，保证运维工具能够支撑运维业务的开展。</w:t>
      </w:r>
    </w:p>
    <w:p>
      <w:pPr>
        <w:pStyle w:val="a3"/>
        <w:numPr>
          <w:ilvl w:val="0"/>
          <w:numId w:val="6"/>
        </w:numPr>
        <w:bidi w:val="0"/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技术难题支持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针对在运维服务过程中遇到的技术难题，及时给予技术支持。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3" w:name="_Toc29853"/>
      <w:r>
        <w:rPr>
          <w:rFonts w:hint="eastAsia"/>
          <w:lang w:val="en-US" w:eastAsia="zh-CN"/>
        </w:rPr>
        <w:t>运维部</w:t>
      </w:r>
      <w:bookmarkEnd w:id="13"/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交付管理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负责运维服务项目的交付全流程管理，根据合同要求和服务目录制定交付计划。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协调内部资源（研发部、</w:t>
      </w:r>
      <w:r>
        <w:rPr>
          <w:rFonts w:hint="eastAsia"/>
          <w:lang w:val="en-US" w:eastAsia="zh-CN"/>
        </w:rPr>
        <w:t>运维</w:t>
      </w:r>
      <w:r>
        <w:rPr>
          <w:rFonts w:hint="default"/>
          <w:lang w:val="en-US" w:eastAsia="zh-CN"/>
        </w:rPr>
        <w:t>工程师等）按计划推进交付工作，确保按时保质完成。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组织交付前的内部验收，确保交付成果（系统部署、硬件调试、培训服务等）符合客户要求。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负责交付过程中的文档编制、收集和归档，包括《交付确认单》《培训记录》《硬件调试报告》等。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识别交付过程中的风险，及时协调解决，重大问题向上级汇报。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作为交付阶段的主要客户接口，保持与客户的良好沟通，收集反馈并推动改进。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运维服务执行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负责组织级服务目录的制定和更新。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负责公司运维服务能力的规划和实施。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负责运维工具的使用和管理。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负责运维过程的实施记录和服务提升。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负责需求调研，控制项目运维周期，及时控制及反映项目风险。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及时将部门收集汇总的用户需求提交研发部，完善产品功能。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提出采购需求，协助采购部的采购管理、供应商管理工作。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负责项目的运维、协调及验收工作。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把控项目模块运维周期，做好相关项目后期维护服务工作。</w:t>
      </w:r>
    </w:p>
    <w:p>
      <w:pPr>
        <w:pStyle w:val="a1"/>
        <w:numPr>
          <w:ilvl w:val="0"/>
          <w:numId w:val="7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作为应急响应的执行主体，负责重大故障和突发事件的现场处置和恢复工作。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接到应急管理部的应急指令或服务台的应急升级通知后，立即组织技术人员赶赴现场或启动远程支持。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执行应急恢复操作，包括系统重启、切换备份、隔离故障、硬件更换等，确保服务快速恢复。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在应急处置过程中，保持与应急管理部、服务台、客户的沟通，及时反馈处置进展。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应急事件结束后，配合应急管理部进行复盘分析，提供技术分析和改进建议。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根据复盘结果，优化应急响应流程和技术方案，提升应急响应能力。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4" w:name="_Toc22170"/>
      <w:r>
        <w:rPr>
          <w:rFonts w:hint="default"/>
          <w:lang w:val="en-US" w:eastAsia="zh-CN"/>
        </w:rPr>
        <w:t>服务台</w:t>
      </w:r>
      <w:bookmarkEnd w:id="14"/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事件受理与分类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接受用户和运维人员的事件申报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对受理的事件进行初步分类和优先级判断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事件全流程沟通与闭环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与服务请求的提交者及相关用户进行沟通、跟踪、通报事件的处理情况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事件解决后，与用户沟通确认事件已解决并进行满意度调查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事件解决后，根据事件解决方案，监督更新配置信息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应急事件专项处置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发现或接到重大故障申报时，立即启动应急升级机制，第一时间通知应急管理部和运维部相关人员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在应急事件处置过程中，保持与客户、应急处置人员的沟通，及时通报处理进展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应急事件结束后，配合应急管理部进行客户确认和满意度回访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协助应急管理部收集应急事件的基础信息，为复盘分析提供原始记录</w:t>
      </w:r>
    </w:p>
    <w:p>
      <w:pPr>
        <w:pStyle w:val="a1"/>
        <w:numPr>
          <w:ilvl w:val="0"/>
          <w:numId w:val="8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配合组织级工作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配合产品质量部进行组织级满意度调查工作</w:t>
      </w:r>
    </w:p>
    <w:p>
      <w:pPr>
        <w:pStyle w:val="3"/>
        <w:bidi w:val="0"/>
        <w:rPr>
          <w:rFonts w:hint="eastAsia"/>
          <w:lang w:val="en-US" w:eastAsia="zh-CN"/>
        </w:rPr>
      </w:pPr>
      <w:bookmarkStart w:id="15" w:name="_Toc25799"/>
      <w:r>
        <w:rPr>
          <w:rFonts w:hint="eastAsia"/>
          <w:lang w:val="en-US" w:eastAsia="zh-CN"/>
        </w:rPr>
        <w:t>备件库</w:t>
      </w:r>
      <w:bookmarkEnd w:id="15"/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备件规划与需求提出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根据运维服务目录和合同要求，制定备件储备规划，明确备件类型、型号、安全库存数量；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定期评估备件库存状况，低于安全库存时，向采购部提出备件采购需求，明确规格、数量、到货时间要求；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针对关键设备（如服务器、网络设备、收银终端）建立备件冗余机制，保障高可用性。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备件入库与标识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对采购到货的备件进行验收，核对型号、数量，进行功能性测试，确保备件质量合格；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对验收合格的备件进行统一编号、贴标签，录入备件管理台账或系统；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备件分类存放，标识清晰，便于快速查找和取用。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备件库存管理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定期对备件库存进行盘点（至少每季度一次），确保账实相符；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监控备件库存水位，及时预警并发起补库申请；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对过期、损坏、淘汰的备件进行报废处理，经审批后更新备件台账。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备件借用与调拨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建立备件借用流程，运维人员或现场工程师借用备件时，需登记借用用途、借用时间、预计归还时间；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跟踪借用备件的归还情况，逾期未归还需及时催还；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应急情况下，配合应急管理部快速调拨备件，支持现场抢修，并做好记录。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备件使用记录与统计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记录每次备件使用的详细信息，包括：故障设备信息、更换备件型号、更换时间、处理人员、故障现象等；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定期统计备件使用情况，分析常用备件、故障率高的设备类型，为备件优化和采购计划提供数据支持；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将备件使用记录与《故障处理记录》关联，形成完整的维修闭环。</w:t>
      </w:r>
    </w:p>
    <w:p>
      <w:pPr>
        <w:pStyle w:val="a1"/>
        <w:numPr>
          <w:ilvl w:val="0"/>
          <w:numId w:val="9"/>
        </w:numPr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备件质量反馈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对备件使用过程中出现的质量问题（如备件本身故障、使用寿命过短等）进行记录，及时反馈至采购部；</w:t>
      </w:r>
    </w:p>
    <w:p>
      <w:pPr>
        <w:pStyle w:val="a1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配合产品质量部对备件供应商进行评价，提供备件使用数据，协助优化供应商选择。</w:t>
      </w:r>
    </w:p>
    <w:p>
      <w:pPr>
        <w:pStyle w:val="3"/>
        <w:bidi w:val="0"/>
        <w:rPr>
          <w:rFonts w:hint="default"/>
          <w:lang w:val="en-US" w:eastAsia="zh-CN"/>
        </w:rPr>
      </w:pPr>
      <w:bookmarkStart w:id="16" w:name="_Toc27780"/>
      <w:r>
        <w:rPr>
          <w:rFonts w:hint="eastAsia"/>
          <w:lang w:val="en-US" w:eastAsia="zh-CN"/>
        </w:rPr>
        <w:t>服务知识</w:t>
      </w:r>
      <w:bookmarkEnd w:id="16"/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一线知识收集与整理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收集服务台、现场工程师在日常运维中遇到的常见问题、解决方案、操作技巧、故障处理经验；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对收集的知识进行初步整理、分类、去重，确保内容准确、表述清晰、格式规范；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将整理好的知识提交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进行评审和入库。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内容维护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内容进行更新、优化，删除过期或无效的知识条目；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根据实际使用情况，对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内容提出分类优化、关键词优化、搜索优化等建议；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维护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的时效性，确保一线人员能够查找到最新、最准确的解决方案。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知识应用与推广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推动服务台和运维人员在日常工作中积极使用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，提高问题解决效率；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使用情况，分析高频问题、知识盲区、搜索失败的关键词，为培训和知识补充提供依据；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组织内部知识分享会、案例复盘会，将典型案例、优秀解决方案在团队内进行推广。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知识质量反馈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收集一线人员对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内容的评价和建议（如解决方案是否有效、描述是否清晰、步骤是否完整等）；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将知识质量反馈至</w:t>
      </w:r>
      <w:r>
        <w:rPr>
          <w:rFonts w:hint="eastAsia"/>
          <w:lang w:val="en-US" w:eastAsia="zh-CN"/>
        </w:rPr>
        <w:t>运维部经理</w:t>
      </w:r>
      <w:r>
        <w:rPr>
          <w:rFonts w:hint="default"/>
          <w:lang w:val="en-US" w:eastAsia="zh-CN"/>
        </w:rPr>
        <w:t>，协助优化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内容和结构；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对多次使用的知识条目进行效果跟踪，评估其实际应用价值，形成知识贡献度数据。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新员工知识培训支持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中的基础知识和常见问题解决方案作为新员工培训的教材；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协助综合部制定新员工运维知识学习计划，提升新人上手速度；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为新员工配备知识学习导师，指导其快速掌握常用知识。</w:t>
      </w:r>
    </w:p>
    <w:p>
      <w:pPr>
        <w:pStyle w:val="a1"/>
        <w:numPr>
          <w:ilvl w:val="0"/>
          <w:numId w:val="10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知识贡献激励建议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定期统计员工的知识贡献情况（如提交知识的数量、质量、被使用次数、点赞/评价等）；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向综合部提出知识贡献激励建议（如积分奖励、月度/年度知识之星等），鼓励员工积极参与知识沉淀。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7" w:name="_Toc4719"/>
      <w:r>
        <w:rPr>
          <w:rFonts w:hint="eastAsia"/>
          <w:lang w:val="en-US" w:eastAsia="zh-CN"/>
        </w:rPr>
        <w:t>采购部</w:t>
      </w:r>
      <w:bookmarkEnd w:id="17"/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采购部是公司运维服务支撑体系的重要组成部分，负责运维物资、备品备件、软硬件资产的采购与供应商管理，确保运维资源及时、合规、高效地供应。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采购计划与执行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根据运维部、备件库等部门提出的采购需求，制定年度、季度采购计划；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组织采购招标、询价、比价、合同签订等采购全流程工作；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确保采购物资的质量、交期、成本符合公司要求。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供应商管理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建立供应商准入标准，对潜在供应商进行资质审查（营业执照、质量管理体系、行业资质、财务状况、过往业绩等）；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组织研发部、产品质量部、运维部对供应商进行技术能力、服务质量、交付能力的联合评估；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通过评估的供应商纳入《合格供应商名录》，经管理者代表审批后生效；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建立供应商评估、考核机制，定期对供应商进行综合评价，推动供应商持续改进；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对关键备件、设备建立备选供应商机制，降低供应风险。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采购合同与付款管理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负责采购合同的起草、审核、签订、归档；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跟踪采购订单执行情况，协调验收、入库、付款等后续工作；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配合财务部进行采购成本核算和分析。</w:t>
      </w:r>
    </w:p>
    <w:p>
      <w:pPr>
        <w:pStyle w:val="a3"/>
        <w:numPr>
          <w:ilvl w:val="0"/>
          <w:numId w:val="1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采购数据与合规管理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建立采购台账，记录采购全流程信息；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配合产品质量部、运维部对采购物资的质量问题进行追溯；</w:t>
      </w:r>
    </w:p>
    <w:p>
      <w:pPr>
        <w:pStyle w:val="a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确保采购流程符合公司内控要求和相关法规。</w:t>
      </w:r>
    </w:p>
    <w:p>
      <w:pPr>
        <w:pStyle w:val="2"/>
        <w:bidi w:val="0"/>
        <w:rPr>
          <w:rFonts w:hint="default"/>
          <w:lang w:val="en-US" w:eastAsia="zh-CN"/>
        </w:rPr>
      </w:pPr>
      <w:bookmarkStart w:id="18" w:name="_Toc11637"/>
      <w:r>
        <w:rPr>
          <w:rFonts w:hint="eastAsia"/>
          <w:lang w:val="en-US" w:eastAsia="zh-CN"/>
        </w:rPr>
        <w:t>应急管理部</w:t>
      </w:r>
      <w:bookmarkEnd w:id="18"/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应急管理部是公司运维服务体系中的重要保障部门，负责应对重大突发事件、保障业务连续性和服务可用性，确保在突发情况下能够快速恢复服务，最小化业务影响。</w:t>
      </w:r>
    </w:p>
    <w:p>
      <w:pPr>
        <w:pStyle w:val="a1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主要职责：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应急预案管理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制定、评审和更新公司级运维应急预案（系统故障、网络中断、机房断电、数据丢失、安全攻击等）；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确保应急预案与客户业务需求、服务水平目标相匹配；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定期组织应急预案的评审和修订。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应急组织与演练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组建应急响应小组，明确职责分工；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制定年度应急演练计划，组织至少每半年一次的应急演练（桌面推演+实战演练）；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演练结束后组织复盘总结，跟踪整改落实。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应急响应与处置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发生重大突发事件时，启动应急响应流程，统筹协调各部门协同处置；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负责应急指挥调度，确保信息传递及时、决策高效；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监督应急处理过程，确保按照预案要求执行。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灾备与业务连续性管理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负责运维服务相关的灾备体系建设与管理（数据备份、系统冗余、容灾切换）；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定期组织灾备切换演练，验证灾备系统的可用性；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评估业务连续性风险，提出改进建议。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应急事件复盘与改进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重大应急事件处理后，组织复盘分析，形成《应急事件复盘报告》；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推动相关部门落实改进措施；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将经验教训纳入</w:t>
      </w:r>
      <w:r>
        <w:rPr>
          <w:rFonts w:hint="eastAsia"/>
          <w:lang w:val="en-US" w:eastAsia="zh-CN"/>
        </w:rPr>
        <w:t>服务知识</w:t>
      </w:r>
      <w:r>
        <w:rPr>
          <w:rFonts w:hint="default"/>
          <w:lang w:val="en-US" w:eastAsia="zh-CN"/>
        </w:rPr>
        <w:t>。</w:t>
      </w:r>
    </w:p>
    <w:p>
      <w:pPr>
        <w:pStyle w:val="a1"/>
        <w:numPr>
          <w:ilvl w:val="0"/>
          <w:numId w:val="12"/>
        </w:numPr>
        <w:ind w:left="425" w:hanging="425" w:leftChars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应急物资与资源管理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负责应急物资（备用设备、应急工具等）的储备、检查和维护；</w:t>
      </w:r>
    </w:p>
    <w:p>
      <w:pPr>
        <w:pStyle w:val="a1"/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与运维部备件库协同，建立应急资源调用机制。</w:t>
      </w:r>
    </w:p>
    <w:p>
      <w:pPr>
        <w:pStyle w:val="a1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BEDB2D3"/>
    <w:multiLevelType w:val="singleLevel"/>
    <w:tmpl w:val="9BEDB2D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B5290608"/>
    <w:multiLevelType w:val="singleLevel"/>
    <w:tmpl w:val="B529060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C5C02BC4"/>
    <w:multiLevelType w:val="singleLevel"/>
    <w:tmpl w:val="C5C02BC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6A1D19C"/>
    <w:multiLevelType w:val="singleLevel"/>
    <w:tmpl w:val="C6A1D19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CB07766"/>
    <w:multiLevelType w:val="singleLevel"/>
    <w:tmpl w:val="CCB0776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EB9A7FFD"/>
    <w:multiLevelType w:val="singleLevel"/>
    <w:tmpl w:val="EB9A7FF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0DF0097"/>
    <w:multiLevelType w:val="singleLevel"/>
    <w:tmpl w:val="F0DF009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2AFE8ACB"/>
    <w:multiLevelType w:val="singleLevel"/>
    <w:tmpl w:val="2AFE8ACB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56DF505"/>
    <w:multiLevelType w:val="singleLevel"/>
    <w:tmpl w:val="556DF50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0">
    <w:nsid w:val="60993735"/>
    <w:multiLevelType w:val="singleLevel"/>
    <w:tmpl w:val="6099373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1">
    <w:nsid w:val="74CB9FA5"/>
    <w:multiLevelType w:val="singleLevel"/>
    <w:tmpl w:val="74CB9FA5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7"/>
  </w:num>
  <w:num w:numId="5">
    <w:abstractNumId w:val="5"/>
  </w:num>
  <w:num w:numId="6">
    <w:abstractNumId w:val="10"/>
  </w:num>
  <w:num w:numId="7">
    <w:abstractNumId w:val="8"/>
  </w:num>
  <w:num w:numId="8">
    <w:abstractNumId w:val="9"/>
  </w:num>
  <w:num w:numId="9">
    <w:abstractNumId w:val="2"/>
  </w:num>
  <w:num w:numId="10">
    <w:abstractNumId w:val="1"/>
  </w:num>
  <w:num w:numId="11">
    <w:abstractNumId w:val="11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 w:hint="eastAsia"/>
      <w:kern w:val="0"/>
      <w:sz w:val="24"/>
      <w:szCs w:val="24"/>
      <w:lang w:val="en-US" w:eastAsia="zh-CN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3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4"/>
    <w:qFormat/>
  </w:style>
  <w:style w:type="paragraph" w:customStyle="1" w:styleId="a4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emf" /><Relationship Id="rId5" Type="http://schemas.openxmlformats.org/officeDocument/2006/relationships/oleObject" Target="embeddings/oleObject1.bin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14</Pages>
  <Words>5612</Words>
  <Characters>5734</Characters>
  <Application>Microsoft Office Word</Application>
  <DocSecurity>0</DocSecurity>
  <Lines>0</Lines>
  <Paragraphs>0</Paragraphs>
  <ScaleCrop>false</ScaleCrop>
  <Company/>
  <LinksUpToDate>false</LinksUpToDate>
  <CharactersWithSpaces>5796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2026-06-10T08:52:54Z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eyJoZGlkIjoiZWI4NmUzMGY2ODA3MDc4ZTFlMjZjZTAyMjM0NmVmODgiLCJ1c2VySWQiOiIxMDc1MzgyOSJ9</vt:lpwstr>
  </property>
</Properties>
</file>