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3.3.0.1 -->
  <w:body>
    <w:p>
      <w:pPr>
        <w:pStyle w:val="a"/>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华风数据(深圳)有限公司</w:t>
      </w:r>
      <w:bookmarkEnd w:id="0"/>
    </w:p>
    <w:p>
      <w:pPr>
        <w:pStyle w:val="a0"/>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运维服务能力管理制度</w:t>
      </w:r>
    </w:p>
    <w:tbl>
      <w:tblPr>
        <w:tblStyle w:val="TableGrid"/>
        <w:tblW w:w="8522" w:type="dxa"/>
        <w:jc w:val="center"/>
        <w:tblBorders>
          <w:top w:val="nil"/>
          <w:left w:val="nil"/>
          <w:bottom w:val="nil"/>
          <w:right w:val="nil"/>
          <w:insideH w:val="nil"/>
          <w:insideV w:val="nil"/>
        </w:tblBorders>
        <w:tblCellMar>
          <w:top w:w="0" w:type="dxa"/>
          <w:left w:w="108" w:type="dxa"/>
          <w:bottom w:w="0" w:type="dxa"/>
          <w:right w:w="108" w:type="dxa"/>
        </w:tblCellMar>
      </w:tblPr>
      <w:tblGrid>
        <w:gridCol w:w="1824"/>
        <w:gridCol w:w="3090"/>
        <w:gridCol w:w="1824"/>
        <w:gridCol w:w="1784"/>
      </w:tblGrid>
      <w:tr>
        <w:tblPrEx>
          <w:tblW w:w="8522"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HFSJ-ITSS-0301</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V1.0</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姚耿桂</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黄剑锋</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sz="4" w:space="0" w:color="auto"/>
              <w:left w:val="single" w:sz="4" w:space="0" w:color="auto"/>
              <w:bottom w:val="nil"/>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黄文广</w:t>
            </w:r>
          </w:p>
        </w:tc>
        <w:tc>
          <w:tcPr>
            <w:tcW w:w="1824" w:type="dxa"/>
            <w:tcBorders>
              <w:top w:val="single" w:sz="4" w:space="0" w:color="auto"/>
              <w:left w:val="single" w:sz="4" w:space="0" w:color="auto"/>
              <w:bottom w:val="nil"/>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sz="4" w:space="0" w:color="auto"/>
              <w:left w:val="single" w:sz="4" w:space="0" w:color="auto"/>
              <w:bottom w:val="nil"/>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r>
        <w:tblPrEx>
          <w:tblW w:w="8522" w:type="dxa"/>
          <w:jc w:val="center"/>
          <w:tblCellMar>
            <w:top w:w="0" w:type="dxa"/>
            <w:left w:w="108" w:type="dxa"/>
            <w:bottom w:w="0" w:type="dxa"/>
            <w:right w:w="108" w:type="dxa"/>
          </w:tblCellMar>
        </w:tblPrEx>
        <w:trPr>
          <w:trHeight w:val="0"/>
          <w:tblHeader/>
          <w:jc w:val="center"/>
        </w:trPr>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sz="4" w:space="0" w:color="auto"/>
              <w:left w:val="single" w:sz="4" w:space="0" w:color="auto"/>
              <w:bottom w:val="single" w:sz="4" w:space="0" w:color="auto"/>
              <w:right w:val="nil"/>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sz="4" w:space="0" w:color="auto"/>
              <w:left w:val="single" w:sz="4" w:space="0" w:color="auto"/>
              <w:bottom w:val="single" w:sz="4" w:space="0" w:color="auto"/>
              <w:right w:val="nil"/>
            </w:tcBorders>
            <w:shd w:val="clear" w:color="auto" w:fill="AEAAAA" w:themeFill="background2" w:themeFillShade="BF"/>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sz="4" w:space="0" w:color="auto"/>
              <w:left w:val="single" w:sz="4" w:space="0" w:color="auto"/>
              <w:bottom w:val="single" w:sz="4" w:space="0" w:color="auto"/>
              <w:right w:val="single" w:sz="4" w:space="0" w:color="auto"/>
            </w:tcBorders>
            <w:tcMar>
              <w:top w:w="-1" w:type="dxa"/>
              <w:left w:w="-1" w:type="dxa"/>
              <w:bottom w:w="-1" w:type="dxa"/>
              <w:right w:w="-1" w:type="dxa"/>
            </w:tcMa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2025.1.3</w:t>
            </w: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TableGrid"/>
        <w:tblW w:w="8519" w:type="dxa"/>
        <w:jc w:val="center"/>
        <w:tblBorders>
          <w:top w:val="nil"/>
          <w:left w:val="nil"/>
          <w:bottom w:val="nil"/>
          <w:right w:val="nil"/>
          <w:insideH w:val="nil"/>
          <w:insideV w:val="nil"/>
        </w:tblBorders>
        <w:tblCellMar>
          <w:top w:w="0" w:type="dxa"/>
          <w:left w:w="108" w:type="dxa"/>
          <w:bottom w:w="0" w:type="dxa"/>
          <w:right w:w="108" w:type="dxa"/>
        </w:tblCellMar>
      </w:tblPr>
      <w:tblGrid>
        <w:gridCol w:w="1621"/>
        <w:gridCol w:w="2036"/>
        <w:gridCol w:w="1621"/>
        <w:gridCol w:w="2036"/>
        <w:gridCol w:w="1205"/>
      </w:tblGrid>
      <w:tr>
        <w:tblPrEx>
          <w:tblW w:w="8519" w:type="dxa"/>
          <w:jc w:val="center"/>
          <w:tblBorders>
            <w:top w:val="nil"/>
            <w:left w:val="nil"/>
            <w:bottom w:val="nil"/>
            <w:right w:val="nil"/>
            <w:insideH w:val="nil"/>
            <w:insideV w:val="nil"/>
          </w:tblBorders>
          <w:tblCellMar>
            <w:top w:w="0" w:type="dxa"/>
            <w:left w:w="108" w:type="dxa"/>
            <w:bottom w:w="0" w:type="dxa"/>
            <w:right w:w="108" w:type="dxa"/>
          </w:tblCellMar>
        </w:tblPrEx>
        <w:trPr>
          <w:trHeight w:val="0"/>
          <w:tblHeader/>
          <w:jc w:val="center"/>
        </w:trPr>
        <w:tc>
          <w:tcPr>
            <w:tcW w:w="0" w:type="auto"/>
            <w:tcBorders>
              <w:top w:val="single" w:sz="12"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版本号</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修订日期</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修订人</w:t>
            </w:r>
          </w:p>
        </w:tc>
        <w:tc>
          <w:tcPr>
            <w:tcW w:w="0" w:type="auto"/>
            <w:tcBorders>
              <w:top w:val="single" w:sz="12"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sz="12"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bCs/>
                <w:i w:val="0"/>
                <w:iCs w:val="0"/>
                <w:caps w:val="0"/>
                <w:color w:val="auto"/>
                <w:spacing w:val="0"/>
                <w:sz w:val="24"/>
                <w:szCs w:val="24"/>
                <w:u w:val="none"/>
                <w:shd w:val="clear" w:color="auto" w:fill="FFFFFF"/>
                <w:vertAlign w:val="baseline"/>
                <w:lang w:val="en-US" w:eastAsia="zh-CN"/>
              </w:rPr>
              <w:t>备注</w:t>
            </w: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olor w:val="auto"/>
                <w:spacing w:val="0"/>
                <w:sz w:val="24"/>
                <w:szCs w:val="24"/>
                <w:u w:val="none"/>
                <w:shd w:val="clear" w:color="auto" w:fill="FFFFFF"/>
                <w:vertAlign w:val="baseline"/>
                <w:lang w:val="en-US" w:eastAsia="zh-CN"/>
              </w:rPr>
              <w:t>V</w:t>
            </w: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1.0</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2025.1.3</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姚耿桂</w:t>
            </w: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r>
              <w:rPr>
                <w:rStyle w:val="Strong"/>
                <w:rFonts w:ascii="微软雅黑" w:eastAsia="微软雅黑" w:hAnsi="微软雅黑" w:cs="微软雅黑" w:hint="eastAsia"/>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auto"/>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0" w:type="auto"/>
            <w:tcBorders>
              <w:top w:val="single" w:sz="4" w:space="0" w:color="auto"/>
              <w:left w:val="single" w:sz="12"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0" w:type="auto"/>
            <w:tcBorders>
              <w:top w:val="single" w:sz="4" w:space="0" w:color="auto"/>
              <w:left w:val="single" w:sz="4" w:space="0" w:color="auto"/>
              <w:bottom w:val="nil"/>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nil"/>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r>
        <w:tblPrEx>
          <w:tblW w:w="8519" w:type="dxa"/>
          <w:jc w:val="center"/>
          <w:tblCellMar>
            <w:top w:w="0" w:type="dxa"/>
            <w:left w:w="108" w:type="dxa"/>
            <w:bottom w:w="0" w:type="dxa"/>
            <w:right w:w="108" w:type="dxa"/>
          </w:tblCellMar>
        </w:tblPrEx>
        <w:trPr>
          <w:trHeight w:val="0"/>
          <w:jc w:val="center"/>
        </w:trPr>
        <w:tc>
          <w:tcPr>
            <w:tcW w:w="1621" w:type="dxa"/>
            <w:tcBorders>
              <w:top w:val="single" w:sz="4" w:space="0" w:color="auto"/>
              <w:left w:val="single" w:sz="12"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621"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2036" w:type="dxa"/>
            <w:tcBorders>
              <w:top w:val="single" w:sz="4" w:space="0" w:color="auto"/>
              <w:left w:val="single" w:sz="4" w:space="0" w:color="auto"/>
              <w:bottom w:val="single" w:sz="12" w:space="0" w:color="auto"/>
              <w:right w:val="nil"/>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sz="4" w:space="0" w:color="auto"/>
              <w:left w:val="single" w:sz="4" w:space="0" w:color="auto"/>
              <w:bottom w:val="single" w:sz="12" w:space="0" w:color="auto"/>
              <w:right w:val="single" w:sz="12" w:space="0" w:color="auto"/>
            </w:tcBorders>
            <w:tcMar>
              <w:top w:w="-1" w:type="dxa"/>
              <w:left w:w="-1" w:type="dxa"/>
              <w:bottom w:w="-1"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Style w:val="Strong"/>
                <w:rFonts w:ascii="微软雅黑" w:eastAsia="微软雅黑" w:hAnsi="微软雅黑" w:cs="微软雅黑" w:hint="default"/>
                <w:b w:val="0"/>
                <w:bCs/>
                <w:i w:val="0"/>
                <w:iCs w:val="0"/>
                <w:caps w:val="0"/>
                <w:color w:val="666666"/>
                <w:spacing w:val="0"/>
                <w:sz w:val="24"/>
                <w:szCs w:val="24"/>
                <w:u w:val="none"/>
                <w:shd w:val="clear" w:color="auto" w:fill="FFFFFF"/>
                <w:vertAlign w:val="baseline"/>
                <w:lang w:val="en-US" w:eastAsia="zh-CN"/>
              </w:rPr>
            </w:pPr>
          </w:p>
        </w:tc>
      </w:tr>
    </w:tbl>
    <w:p>
      <w:pPr>
        <w:keepNext w:val="0"/>
        <w:keepLines w:val="0"/>
        <w:pageBreakBefore w:val="0"/>
        <w:widowControl w:val="0"/>
        <w:kinsoku w:val="0"/>
        <w:wordWrap/>
        <w:overflowPunct/>
        <w:topLinePunct w:val="0"/>
        <w:autoSpaceDE w:val="0"/>
        <w:autoSpaceDN w:val="0"/>
        <w:bidi w:val="0"/>
        <w:adjustRightInd w:val="0"/>
        <w:snapToGrid w:val="0"/>
        <w:textAlignment w:val="baseline"/>
      </w:pPr>
      <w:r>
        <w:rPr>
          <w:rStyle w:val="Strong"/>
          <w:rFonts w:ascii="微软雅黑" w:eastAsia="微软雅黑" w:hAnsi="微软雅黑" w:cs="微软雅黑" w:hint="default"/>
          <w:b w:val="0"/>
          <w:bCs/>
          <w:i w:val="0"/>
          <w:iCs w:val="0"/>
          <w:caps w:val="0"/>
          <w:color w:val="666666"/>
          <w:spacing w:val="0"/>
          <w:sz w:val="24"/>
          <w:szCs w:val="24"/>
          <w:u w:val="none"/>
          <w:shd w:val="clear" w:color="auto" w:fill="FFFFFF"/>
          <w:lang w:val="en-US" w:eastAsia="zh-CN"/>
        </w:rPr>
        <w:br w:type="page"/>
      </w:r>
    </w:p>
    <w:sdt>
      <w:sdtPr>
        <w:rPr>
          <w:rFonts w:ascii="宋体" w:eastAsia="宋体" w:hAnsi="宋体" w:cs="Arial"/>
          <w:snapToGrid w:val="0"/>
          <w:color w:val="000000"/>
          <w:kern w:val="0"/>
          <w:sz w:val="21"/>
          <w:szCs w:val="21"/>
          <w:lang w:val="en-US" w:eastAsia="en-US" w:bidi="ar-SA"/>
        </w:rPr>
        <w:id w:val="147475207"/>
        <w:docPartObj>
          <w:docPartGallery w:val="Table of Contents"/>
          <w:docPartUnique/>
        </w:docPartObj>
      </w:sdtPr>
      <w:sdtEndPr>
        <w:rPr>
          <w:rFonts w:ascii="宋体" w:eastAsia="宋体" w:hAnsi="宋体" w:cs="Arial"/>
          <w:snapToGrid w:val="0"/>
          <w:color w:val="000000"/>
          <w:kern w:val="0"/>
          <w:sz w:val="21"/>
          <w:szCs w:val="21"/>
          <w:lang w:val="en-US" w:eastAsia="en-US" w:bidi="ar-SA"/>
        </w:rPr>
      </w:sdtEndPr>
      <w:sdtContent>
        <w:p>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right="0" w:firstLine="0" w:leftChars="0" w:rightChars="0" w:firstLineChars="0"/>
            <w:jc w:val="center"/>
            <w:textAlignment w:val="baseline"/>
          </w:pPr>
          <w:r>
            <w:rPr>
              <w:rFonts w:ascii="宋体" w:eastAsia="宋体" w:hAnsi="宋体"/>
              <w:sz w:val="21"/>
            </w:rPr>
            <w:t>目录</w:t>
          </w:r>
        </w:p>
        <w:p>
          <w:pPr>
            <w:pStyle w:val="TOC1"/>
            <w:tabs>
              <w:tab w:val="right" w:leader="dot" w:pos="8306"/>
            </w:tabs>
          </w:pPr>
          <w:r>
            <w:fldChar w:fldCharType="begin"/>
          </w:r>
          <w:r>
            <w:instrText xml:space="preserve">TOC \o "1-3" \h \u </w:instrText>
          </w:r>
          <w:r>
            <w:fldChar w:fldCharType="separate"/>
          </w:r>
          <w:r>
            <w:fldChar w:fldCharType="begin"/>
          </w:r>
          <w:r>
            <w:instrText xml:space="preserve"> HYPERLINK \l _Toc8543 </w:instrText>
          </w:r>
          <w:r>
            <w:fldChar w:fldCharType="separate"/>
          </w:r>
          <w:r>
            <w:rPr>
              <w:rFonts w:hint="default"/>
              <w:lang w:val="en-US" w:eastAsia="zh-CN"/>
            </w:rPr>
            <w:t>1. 目的</w:t>
          </w:r>
          <w:r>
            <w:tab/>
          </w:r>
          <w:r>
            <w:fldChar w:fldCharType="begin"/>
          </w:r>
          <w:r>
            <w:instrText xml:space="preserve"> PAGEREF _Toc8543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_Toc11923 </w:instrText>
          </w:r>
          <w:r>
            <w:fldChar w:fldCharType="separate"/>
          </w:r>
          <w:r>
            <w:rPr>
              <w:rFonts w:hint="default"/>
              <w:lang w:val="en-US" w:eastAsia="zh-CN"/>
            </w:rPr>
            <w:t>2. 范围</w:t>
          </w:r>
          <w:r>
            <w:tab/>
          </w:r>
          <w:r>
            <w:fldChar w:fldCharType="begin"/>
          </w:r>
          <w:r>
            <w:instrText xml:space="preserve"> PAGEREF _Toc11923 \h </w:instrText>
          </w:r>
          <w:r>
            <w:fldChar w:fldCharType="separate"/>
          </w:r>
          <w:r>
            <w:t>5</w:t>
          </w:r>
          <w:r>
            <w:fldChar w:fldCharType="end"/>
          </w:r>
          <w:r>
            <w:fldChar w:fldCharType="end"/>
          </w:r>
        </w:p>
        <w:p>
          <w:pPr>
            <w:pStyle w:val="TOC1"/>
            <w:tabs>
              <w:tab w:val="right" w:leader="dot" w:pos="8306"/>
            </w:tabs>
          </w:pPr>
          <w:r>
            <w:fldChar w:fldCharType="begin"/>
          </w:r>
          <w:r>
            <w:instrText xml:space="preserve"> HYPERLINK \l _Toc8880 </w:instrText>
          </w:r>
          <w:r>
            <w:fldChar w:fldCharType="separate"/>
          </w:r>
          <w:r>
            <w:rPr>
              <w:rFonts w:hint="default"/>
              <w:lang w:val="en-US" w:eastAsia="zh-CN"/>
            </w:rPr>
            <w:t>3. 角色和职责</w:t>
          </w:r>
          <w:r>
            <w:tab/>
          </w:r>
          <w:r>
            <w:fldChar w:fldCharType="begin"/>
          </w:r>
          <w:r>
            <w:instrText xml:space="preserve"> PAGEREF _Toc8880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_Toc32670 </w:instrText>
          </w:r>
          <w:r>
            <w:fldChar w:fldCharType="separate"/>
          </w:r>
          <w:r>
            <w:rPr>
              <w:rFonts w:hint="default"/>
              <w:lang w:val="en-US" w:eastAsia="zh-CN"/>
            </w:rPr>
            <w:t>3.1. 管理层</w:t>
          </w:r>
          <w:r>
            <w:tab/>
          </w:r>
          <w:r>
            <w:fldChar w:fldCharType="begin"/>
          </w:r>
          <w:r>
            <w:instrText xml:space="preserve"> PAGEREF _Toc32670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_Toc22449 </w:instrText>
          </w:r>
          <w:r>
            <w:fldChar w:fldCharType="separate"/>
          </w:r>
          <w:r>
            <w:rPr>
              <w:rFonts w:hint="default"/>
              <w:lang w:val="en-US" w:eastAsia="zh-CN"/>
            </w:rPr>
            <w:t>3.2. 运维部</w:t>
          </w:r>
          <w:r>
            <w:tab/>
          </w:r>
          <w:r>
            <w:fldChar w:fldCharType="begin"/>
          </w:r>
          <w:r>
            <w:instrText xml:space="preserve"> PAGEREF _Toc22449 \h </w:instrText>
          </w:r>
          <w:r>
            <w:fldChar w:fldCharType="separate"/>
          </w:r>
          <w:r>
            <w:t>5</w:t>
          </w:r>
          <w:r>
            <w:fldChar w:fldCharType="end"/>
          </w:r>
          <w:r>
            <w:fldChar w:fldCharType="end"/>
          </w:r>
        </w:p>
        <w:p>
          <w:pPr>
            <w:pStyle w:val="TOC2"/>
            <w:tabs>
              <w:tab w:val="right" w:leader="dot" w:pos="8306"/>
            </w:tabs>
          </w:pPr>
          <w:r>
            <w:fldChar w:fldCharType="begin"/>
          </w:r>
          <w:r>
            <w:instrText xml:space="preserve"> HYPERLINK \l _Toc29396 </w:instrText>
          </w:r>
          <w:r>
            <w:fldChar w:fldCharType="separate"/>
          </w:r>
          <w:r>
            <w:rPr>
              <w:rFonts w:hint="default"/>
              <w:lang w:val="en-US" w:eastAsia="zh-CN"/>
            </w:rPr>
            <w:t>3.3. 研发部</w:t>
          </w:r>
          <w:r>
            <w:tab/>
          </w:r>
          <w:r>
            <w:fldChar w:fldCharType="begin"/>
          </w:r>
          <w:r>
            <w:instrText xml:space="preserve"> PAGEREF _Toc29396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_Toc10113 </w:instrText>
          </w:r>
          <w:r>
            <w:fldChar w:fldCharType="separate"/>
          </w:r>
          <w:r>
            <w:rPr>
              <w:rFonts w:hint="default"/>
              <w:lang w:val="en-US" w:eastAsia="zh-CN"/>
            </w:rPr>
            <w:t>3.4. 产品质量部</w:t>
          </w:r>
          <w:r>
            <w:tab/>
          </w:r>
          <w:r>
            <w:fldChar w:fldCharType="begin"/>
          </w:r>
          <w:r>
            <w:instrText xml:space="preserve"> PAGEREF _Toc10113 \h </w:instrText>
          </w:r>
          <w:r>
            <w:fldChar w:fldCharType="separate"/>
          </w:r>
          <w:r>
            <w:t>6</w:t>
          </w:r>
          <w:r>
            <w:fldChar w:fldCharType="end"/>
          </w:r>
          <w:r>
            <w:fldChar w:fldCharType="end"/>
          </w:r>
        </w:p>
        <w:p>
          <w:pPr>
            <w:pStyle w:val="TOC2"/>
            <w:tabs>
              <w:tab w:val="right" w:leader="dot" w:pos="8306"/>
            </w:tabs>
          </w:pPr>
          <w:r>
            <w:fldChar w:fldCharType="begin"/>
          </w:r>
          <w:r>
            <w:instrText xml:space="preserve"> HYPERLINK \l _Toc26284 </w:instrText>
          </w:r>
          <w:r>
            <w:fldChar w:fldCharType="separate"/>
          </w:r>
          <w:r>
            <w:rPr>
              <w:rFonts w:hint="default"/>
              <w:lang w:val="en-US" w:eastAsia="zh-CN"/>
            </w:rPr>
            <w:t>3.5. 综合部</w:t>
          </w:r>
          <w:r>
            <w:tab/>
          </w:r>
          <w:r>
            <w:fldChar w:fldCharType="begin"/>
          </w:r>
          <w:r>
            <w:instrText xml:space="preserve"> PAGEREF _Toc26284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_Toc839 </w:instrText>
          </w:r>
          <w:r>
            <w:fldChar w:fldCharType="separate"/>
          </w:r>
          <w:r>
            <w:rPr>
              <w:rFonts w:hint="default"/>
              <w:lang w:val="en-US" w:eastAsia="zh-CN"/>
            </w:rPr>
            <w:t>3.6. 采购部</w:t>
          </w:r>
          <w:r>
            <w:tab/>
          </w:r>
          <w:r>
            <w:fldChar w:fldCharType="begin"/>
          </w:r>
          <w:r>
            <w:instrText xml:space="preserve"> PAGEREF _Toc839 \h </w:instrText>
          </w:r>
          <w:r>
            <w:fldChar w:fldCharType="separate"/>
          </w:r>
          <w:r>
            <w:t>7</w:t>
          </w:r>
          <w:r>
            <w:fldChar w:fldCharType="end"/>
          </w:r>
          <w:r>
            <w:fldChar w:fldCharType="end"/>
          </w:r>
        </w:p>
        <w:p>
          <w:pPr>
            <w:pStyle w:val="TOC2"/>
            <w:tabs>
              <w:tab w:val="right" w:leader="dot" w:pos="8306"/>
            </w:tabs>
          </w:pPr>
          <w:r>
            <w:fldChar w:fldCharType="begin"/>
          </w:r>
          <w:r>
            <w:instrText xml:space="preserve"> HYPERLINK \l _Toc2572 </w:instrText>
          </w:r>
          <w:r>
            <w:fldChar w:fldCharType="separate"/>
          </w:r>
          <w:r>
            <w:rPr>
              <w:rFonts w:hint="default"/>
              <w:lang w:val="en-US" w:eastAsia="zh-CN"/>
            </w:rPr>
            <w:t>3.7. 应急管理部</w:t>
          </w:r>
          <w:r>
            <w:tab/>
          </w:r>
          <w:r>
            <w:fldChar w:fldCharType="begin"/>
          </w:r>
          <w:r>
            <w:instrText xml:space="preserve"> PAGEREF _Toc2572 \h </w:instrText>
          </w:r>
          <w:r>
            <w:fldChar w:fldCharType="separate"/>
          </w:r>
          <w:r>
            <w:t>7</w:t>
          </w:r>
          <w:r>
            <w:fldChar w:fldCharType="end"/>
          </w:r>
          <w:r>
            <w:fldChar w:fldCharType="end"/>
          </w:r>
        </w:p>
        <w:p>
          <w:pPr>
            <w:pStyle w:val="TOC1"/>
            <w:tabs>
              <w:tab w:val="right" w:leader="dot" w:pos="8306"/>
            </w:tabs>
          </w:pPr>
          <w:r>
            <w:fldChar w:fldCharType="begin"/>
          </w:r>
          <w:r>
            <w:instrText xml:space="preserve"> HYPERLINK \l _Toc24365 </w:instrText>
          </w:r>
          <w:r>
            <w:fldChar w:fldCharType="separate"/>
          </w:r>
          <w:r>
            <w:rPr>
              <w:rFonts w:hint="default"/>
              <w:lang w:val="en-US" w:eastAsia="zh-CN"/>
            </w:rPr>
            <w:t>4. 具体内容</w:t>
          </w:r>
          <w:r>
            <w:tab/>
          </w:r>
          <w:r>
            <w:fldChar w:fldCharType="begin"/>
          </w:r>
          <w:r>
            <w:instrText xml:space="preserve"> PAGEREF _Toc24365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_Toc26097 </w:instrText>
          </w:r>
          <w:r>
            <w:fldChar w:fldCharType="separate"/>
          </w:r>
          <w:r>
            <w:rPr>
              <w:rFonts w:hint="default"/>
              <w:lang w:val="en-US" w:eastAsia="zh-CN"/>
            </w:rPr>
            <w:t>4.1. 能力策划流程图</w:t>
          </w:r>
          <w:r>
            <w:tab/>
          </w:r>
          <w:r>
            <w:fldChar w:fldCharType="begin"/>
          </w:r>
          <w:r>
            <w:instrText xml:space="preserve"> PAGEREF _Toc26097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_Toc14304 </w:instrText>
          </w:r>
          <w:r>
            <w:fldChar w:fldCharType="separate"/>
          </w:r>
          <w:r>
            <w:rPr>
              <w:rFonts w:hint="default"/>
              <w:lang w:val="en-US" w:eastAsia="zh-CN"/>
            </w:rPr>
            <w:t>4.2. 能力策划</w:t>
          </w:r>
          <w:r>
            <w:tab/>
          </w:r>
          <w:r>
            <w:fldChar w:fldCharType="begin"/>
          </w:r>
          <w:r>
            <w:instrText xml:space="preserve"> PAGEREF _Toc14304 \h </w:instrText>
          </w:r>
          <w:r>
            <w:fldChar w:fldCharType="separate"/>
          </w:r>
          <w:r>
            <w:t>8</w:t>
          </w:r>
          <w:r>
            <w:fldChar w:fldCharType="end"/>
          </w:r>
          <w:r>
            <w:fldChar w:fldCharType="end"/>
          </w:r>
        </w:p>
        <w:p>
          <w:pPr>
            <w:pStyle w:val="TOC2"/>
            <w:tabs>
              <w:tab w:val="right" w:leader="dot" w:pos="8306"/>
            </w:tabs>
          </w:pPr>
          <w:r>
            <w:fldChar w:fldCharType="begin"/>
          </w:r>
          <w:r>
            <w:instrText xml:space="preserve"> HYPERLINK \l _Toc25933 </w:instrText>
          </w:r>
          <w:r>
            <w:fldChar w:fldCharType="separate"/>
          </w:r>
          <w:r>
            <w:rPr>
              <w:rFonts w:hint="default"/>
              <w:lang w:val="en-US" w:eastAsia="zh-CN"/>
            </w:rPr>
            <w:t>4.3. 审批</w:t>
          </w:r>
          <w:r>
            <w:tab/>
          </w:r>
          <w:r>
            <w:fldChar w:fldCharType="begin"/>
          </w:r>
          <w:r>
            <w:instrText xml:space="preserve"> PAGEREF _Toc25933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_Toc12681 </w:instrText>
          </w:r>
          <w:r>
            <w:fldChar w:fldCharType="separate"/>
          </w:r>
          <w:r>
            <w:rPr>
              <w:rFonts w:hint="default"/>
              <w:lang w:val="en-US" w:eastAsia="zh-CN"/>
            </w:rPr>
            <w:t>4.4. 执行</w:t>
          </w:r>
          <w:r>
            <w:tab/>
          </w:r>
          <w:r>
            <w:fldChar w:fldCharType="begin"/>
          </w:r>
          <w:r>
            <w:instrText xml:space="preserve"> PAGEREF _Toc12681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_Toc21692 </w:instrText>
          </w:r>
          <w:r>
            <w:fldChar w:fldCharType="separate"/>
          </w:r>
          <w:r>
            <w:rPr>
              <w:rFonts w:hint="default"/>
              <w:lang w:val="en-US" w:eastAsia="zh-CN"/>
            </w:rPr>
            <w:t>4.5. 监督</w:t>
          </w:r>
          <w:r>
            <w:tab/>
          </w:r>
          <w:r>
            <w:fldChar w:fldCharType="begin"/>
          </w:r>
          <w:r>
            <w:instrText xml:space="preserve"> PAGEREF _Toc21692 \h </w:instrText>
          </w:r>
          <w:r>
            <w:fldChar w:fldCharType="separate"/>
          </w:r>
          <w:r>
            <w:t>9</w:t>
          </w:r>
          <w:r>
            <w:fldChar w:fldCharType="end"/>
          </w:r>
          <w:r>
            <w:fldChar w:fldCharType="end"/>
          </w:r>
        </w:p>
        <w:p>
          <w:pPr>
            <w:pStyle w:val="TOC2"/>
            <w:tabs>
              <w:tab w:val="right" w:leader="dot" w:pos="8306"/>
            </w:tabs>
          </w:pPr>
          <w:r>
            <w:fldChar w:fldCharType="begin"/>
          </w:r>
          <w:r>
            <w:instrText xml:space="preserve"> HYPERLINK \l _Toc796 </w:instrText>
          </w:r>
          <w:r>
            <w:fldChar w:fldCharType="separate"/>
          </w:r>
          <w:r>
            <w:rPr>
              <w:rFonts w:hint="default"/>
              <w:lang w:val="en-US" w:eastAsia="zh-CN"/>
            </w:rPr>
            <w:t>4.6. 年度总结</w:t>
          </w:r>
          <w:r>
            <w:tab/>
          </w:r>
          <w:r>
            <w:fldChar w:fldCharType="begin"/>
          </w:r>
          <w:r>
            <w:instrText xml:space="preserve"> PAGEREF _Toc796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_Toc24836 </w:instrText>
          </w:r>
          <w:r>
            <w:fldChar w:fldCharType="separate"/>
          </w:r>
          <w:r>
            <w:rPr>
              <w:rFonts w:hint="default"/>
              <w:lang w:val="en-US" w:eastAsia="zh-CN"/>
            </w:rPr>
            <w:t>4.7. 改进</w:t>
          </w:r>
          <w:r>
            <w:tab/>
          </w:r>
          <w:r>
            <w:fldChar w:fldCharType="begin"/>
          </w:r>
          <w:r>
            <w:instrText xml:space="preserve"> PAGEREF _Toc24836 \h </w:instrText>
          </w:r>
          <w:r>
            <w:fldChar w:fldCharType="separate"/>
          </w:r>
          <w:r>
            <w:t>10</w:t>
          </w:r>
          <w:r>
            <w:fldChar w:fldCharType="end"/>
          </w:r>
          <w:r>
            <w:fldChar w:fldCharType="end"/>
          </w:r>
        </w:p>
        <w:p>
          <w:pPr>
            <w:pStyle w:val="TOC2"/>
            <w:tabs>
              <w:tab w:val="right" w:leader="dot" w:pos="8306"/>
            </w:tabs>
          </w:pPr>
          <w:r>
            <w:fldChar w:fldCharType="begin"/>
          </w:r>
          <w:r>
            <w:instrText xml:space="preserve"> HYPERLINK \l _Toc14689 </w:instrText>
          </w:r>
          <w:r>
            <w:fldChar w:fldCharType="separate"/>
          </w:r>
          <w:r>
            <w:rPr>
              <w:rFonts w:hint="default"/>
              <w:lang w:val="en-US" w:eastAsia="zh-CN"/>
            </w:rPr>
            <w:t>4.8. 运维服务管理体系的维护</w:t>
          </w:r>
          <w:r>
            <w:tab/>
          </w:r>
          <w:r>
            <w:fldChar w:fldCharType="begin"/>
          </w:r>
          <w:r>
            <w:instrText xml:space="preserve"> PAGEREF _Toc14689 \h </w:instrText>
          </w:r>
          <w:r>
            <w:fldChar w:fldCharType="separate"/>
          </w:r>
          <w:r>
            <w:t>10</w:t>
          </w:r>
          <w:r>
            <w:fldChar w:fldCharType="end"/>
          </w:r>
          <w:r>
            <w:fldChar w:fldCharType="end"/>
          </w:r>
        </w:p>
        <w:p>
          <w:pPr>
            <w:pStyle w:val="TOC1"/>
            <w:tabs>
              <w:tab w:val="right" w:leader="dot" w:pos="8306"/>
            </w:tabs>
          </w:pPr>
          <w:r>
            <w:fldChar w:fldCharType="begin"/>
          </w:r>
          <w:r>
            <w:instrText xml:space="preserve"> HYPERLINK \l _Toc4735 </w:instrText>
          </w:r>
          <w:r>
            <w:fldChar w:fldCharType="separate"/>
          </w:r>
          <w:r>
            <w:rPr>
              <w:rFonts w:hint="default"/>
              <w:lang w:val="en-US" w:eastAsia="zh-CN"/>
            </w:rPr>
            <w:t xml:space="preserve">5. </w:t>
          </w:r>
          <w:r>
            <w:rPr>
              <w:rFonts w:hint="eastAsia"/>
              <w:lang w:val="en-US" w:eastAsia="zh-CN"/>
            </w:rPr>
            <w:t>能力管理细则</w:t>
          </w:r>
          <w:r>
            <w:tab/>
          </w:r>
          <w:r>
            <w:fldChar w:fldCharType="begin"/>
          </w:r>
          <w:r>
            <w:instrText xml:space="preserve"> PAGEREF _Toc4735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_Toc30516 </w:instrText>
          </w:r>
          <w:r>
            <w:fldChar w:fldCharType="separate"/>
          </w:r>
          <w:r>
            <w:rPr>
              <w:rFonts w:hint="default"/>
              <w:lang w:val="en-US" w:eastAsia="zh-CN"/>
            </w:rPr>
            <w:t>5.1. 人员管理</w:t>
          </w:r>
          <w:r>
            <w:tab/>
          </w:r>
          <w:r>
            <w:fldChar w:fldCharType="begin"/>
          </w:r>
          <w:r>
            <w:instrText xml:space="preserve"> PAGEREF _Toc30516 \h </w:instrText>
          </w:r>
          <w:r>
            <w:fldChar w:fldCharType="separate"/>
          </w:r>
          <w:r>
            <w:t>11</w:t>
          </w:r>
          <w:r>
            <w:fldChar w:fldCharType="end"/>
          </w:r>
          <w:r>
            <w:fldChar w:fldCharType="end"/>
          </w:r>
        </w:p>
        <w:p>
          <w:pPr>
            <w:pStyle w:val="TOC2"/>
            <w:tabs>
              <w:tab w:val="right" w:leader="dot" w:pos="8306"/>
            </w:tabs>
          </w:pPr>
          <w:r>
            <w:fldChar w:fldCharType="begin"/>
          </w:r>
          <w:r>
            <w:instrText xml:space="preserve"> HYPERLINK \l _Toc29915 </w:instrText>
          </w:r>
          <w:r>
            <w:fldChar w:fldCharType="separate"/>
          </w:r>
          <w:r>
            <w:rPr>
              <w:rFonts w:hint="default"/>
              <w:lang w:val="en-US" w:eastAsia="zh-CN"/>
            </w:rPr>
            <w:t>5.2. 资源管理</w:t>
          </w:r>
          <w:r>
            <w:tab/>
          </w:r>
          <w:r>
            <w:fldChar w:fldCharType="begin"/>
          </w:r>
          <w:r>
            <w:instrText xml:space="preserve"> PAGEREF _Toc29915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_Toc17606 </w:instrText>
          </w:r>
          <w:r>
            <w:fldChar w:fldCharType="separate"/>
          </w:r>
          <w:r>
            <w:rPr>
              <w:rFonts w:hint="default"/>
              <w:lang w:val="en-US" w:eastAsia="zh-CN"/>
            </w:rPr>
            <w:t xml:space="preserve">5.2.1. </w:t>
          </w:r>
          <w:r>
            <w:rPr>
              <w:rFonts w:hint="eastAsia"/>
              <w:lang w:val="en-US" w:eastAsia="zh-CN"/>
            </w:rPr>
            <w:t>服务知识</w:t>
          </w:r>
          <w:r>
            <w:rPr>
              <w:rFonts w:hint="default"/>
              <w:lang w:val="en-US" w:eastAsia="zh-CN"/>
            </w:rPr>
            <w:t>管理</w:t>
          </w:r>
          <w:r>
            <w:tab/>
          </w:r>
          <w:r>
            <w:fldChar w:fldCharType="begin"/>
          </w:r>
          <w:r>
            <w:instrText xml:space="preserve"> PAGEREF _Toc17606 \h </w:instrText>
          </w:r>
          <w:r>
            <w:fldChar w:fldCharType="separate"/>
          </w:r>
          <w:r>
            <w:t>11</w:t>
          </w:r>
          <w:r>
            <w:fldChar w:fldCharType="end"/>
          </w:r>
          <w:r>
            <w:fldChar w:fldCharType="end"/>
          </w:r>
        </w:p>
        <w:p>
          <w:pPr>
            <w:pStyle w:val="TOC3"/>
            <w:tabs>
              <w:tab w:val="right" w:leader="dot" w:pos="8306"/>
            </w:tabs>
          </w:pPr>
          <w:r>
            <w:fldChar w:fldCharType="begin"/>
          </w:r>
          <w:r>
            <w:instrText xml:space="preserve"> HYPERLINK \l _Toc21973 </w:instrText>
          </w:r>
          <w:r>
            <w:fldChar w:fldCharType="separate"/>
          </w:r>
          <w:r>
            <w:rPr>
              <w:rFonts w:hint="default"/>
              <w:lang w:val="en-US" w:eastAsia="zh-CN"/>
            </w:rPr>
            <w:t>5.2.2. 运维工具管理</w:t>
          </w:r>
          <w:r>
            <w:tab/>
          </w:r>
          <w:r>
            <w:fldChar w:fldCharType="begin"/>
          </w:r>
          <w:r>
            <w:instrText xml:space="preserve"> PAGEREF _Toc21973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_Toc19943 </w:instrText>
          </w:r>
          <w:r>
            <w:fldChar w:fldCharType="separate"/>
          </w:r>
          <w:r>
            <w:rPr>
              <w:rFonts w:hint="default"/>
              <w:lang w:val="en-US" w:eastAsia="zh-CN"/>
            </w:rPr>
            <w:t>5.2.3. 服务台管理</w:t>
          </w:r>
          <w:r>
            <w:tab/>
          </w:r>
          <w:r>
            <w:fldChar w:fldCharType="begin"/>
          </w:r>
          <w:r>
            <w:instrText xml:space="preserve"> PAGEREF _Toc19943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_Toc6877 </w:instrText>
          </w:r>
          <w:r>
            <w:fldChar w:fldCharType="separate"/>
          </w:r>
          <w:r>
            <w:rPr>
              <w:rFonts w:hint="default"/>
              <w:lang w:val="en-US" w:eastAsia="zh-CN"/>
            </w:rPr>
            <w:t>5.2.4. 备件库管理</w:t>
          </w:r>
          <w:r>
            <w:tab/>
          </w:r>
          <w:r>
            <w:fldChar w:fldCharType="begin"/>
          </w:r>
          <w:r>
            <w:instrText xml:space="preserve"> PAGEREF _Toc6877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_Toc12197 </w:instrText>
          </w:r>
          <w:r>
            <w:fldChar w:fldCharType="separate"/>
          </w:r>
          <w:r>
            <w:rPr>
              <w:rFonts w:hint="default"/>
              <w:lang w:val="en-US" w:eastAsia="zh-CN"/>
            </w:rPr>
            <w:t xml:space="preserve">5.2.5. </w:t>
          </w:r>
          <w:r>
            <w:rPr>
              <w:rFonts w:hint="eastAsia"/>
              <w:lang w:val="en-US" w:eastAsia="zh-CN"/>
            </w:rPr>
            <w:t>最终</w:t>
          </w:r>
          <w:r>
            <w:rPr>
              <w:rFonts w:hint="default"/>
              <w:lang w:val="en-US" w:eastAsia="zh-CN"/>
            </w:rPr>
            <w:t>软件库管理</w:t>
          </w:r>
          <w:r>
            <w:tab/>
          </w:r>
          <w:r>
            <w:fldChar w:fldCharType="begin"/>
          </w:r>
          <w:r>
            <w:instrText xml:space="preserve"> PAGEREF _Toc12197 \h </w:instrText>
          </w:r>
          <w:r>
            <w:fldChar w:fldCharType="separate"/>
          </w:r>
          <w:r>
            <w:t>12</w:t>
          </w:r>
          <w:r>
            <w:fldChar w:fldCharType="end"/>
          </w:r>
          <w:r>
            <w:fldChar w:fldCharType="end"/>
          </w:r>
        </w:p>
        <w:p>
          <w:pPr>
            <w:pStyle w:val="TOC3"/>
            <w:tabs>
              <w:tab w:val="right" w:leader="dot" w:pos="8306"/>
            </w:tabs>
          </w:pPr>
          <w:r>
            <w:fldChar w:fldCharType="begin"/>
          </w:r>
          <w:r>
            <w:instrText xml:space="preserve"> HYPERLINK \l _Toc27843 </w:instrText>
          </w:r>
          <w:r>
            <w:fldChar w:fldCharType="separate"/>
          </w:r>
          <w:r>
            <w:rPr>
              <w:rFonts w:hint="default"/>
              <w:lang w:val="en-US" w:eastAsia="zh-CN"/>
            </w:rPr>
            <w:t>5.2.6. 服务数据管理</w:t>
          </w:r>
          <w:r>
            <w:tab/>
          </w:r>
          <w:r>
            <w:fldChar w:fldCharType="begin"/>
          </w:r>
          <w:r>
            <w:instrText xml:space="preserve"> PAGEREF _Toc27843 \h </w:instrText>
          </w:r>
          <w:r>
            <w:fldChar w:fldCharType="separate"/>
          </w:r>
          <w:r>
            <w:t>12</w:t>
          </w:r>
          <w:r>
            <w:fldChar w:fldCharType="end"/>
          </w:r>
          <w:r>
            <w:fldChar w:fldCharType="end"/>
          </w:r>
        </w:p>
        <w:p>
          <w:pPr>
            <w:pStyle w:val="TOC2"/>
            <w:tabs>
              <w:tab w:val="right" w:leader="dot" w:pos="8306"/>
            </w:tabs>
          </w:pPr>
          <w:r>
            <w:fldChar w:fldCharType="begin"/>
          </w:r>
          <w:r>
            <w:instrText xml:space="preserve"> HYPERLINK \l _Toc14264 </w:instrText>
          </w:r>
          <w:r>
            <w:fldChar w:fldCharType="separate"/>
          </w:r>
          <w:r>
            <w:rPr>
              <w:rFonts w:hint="default"/>
              <w:lang w:val="en-US" w:eastAsia="zh-CN"/>
            </w:rPr>
            <w:t>5.3. 技术管理</w:t>
          </w:r>
          <w:r>
            <w:tab/>
          </w:r>
          <w:r>
            <w:fldChar w:fldCharType="begin"/>
          </w:r>
          <w:r>
            <w:instrText xml:space="preserve"> PAGEREF _Toc14264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_Toc12763 </w:instrText>
          </w:r>
          <w:r>
            <w:fldChar w:fldCharType="separate"/>
          </w:r>
          <w:r>
            <w:rPr>
              <w:rFonts w:hint="default"/>
              <w:lang w:val="en-US" w:eastAsia="zh-CN"/>
            </w:rPr>
            <w:t>5.3.1. 运维工具研发</w:t>
          </w:r>
          <w:r>
            <w:tab/>
          </w:r>
          <w:r>
            <w:fldChar w:fldCharType="begin"/>
          </w:r>
          <w:r>
            <w:instrText xml:space="preserve"> PAGEREF _Toc12763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_Toc19614 </w:instrText>
          </w:r>
          <w:r>
            <w:fldChar w:fldCharType="separate"/>
          </w:r>
          <w:r>
            <w:rPr>
              <w:rFonts w:hint="default"/>
              <w:lang w:val="en-US" w:eastAsia="zh-CN"/>
            </w:rPr>
            <w:t>5.3.2. 运维手册研发</w:t>
          </w:r>
          <w:r>
            <w:tab/>
          </w:r>
          <w:r>
            <w:fldChar w:fldCharType="begin"/>
          </w:r>
          <w:r>
            <w:instrText xml:space="preserve"> PAGEREF _Toc19614 \h </w:instrText>
          </w:r>
          <w:r>
            <w:fldChar w:fldCharType="separate"/>
          </w:r>
          <w:r>
            <w:t>13</w:t>
          </w:r>
          <w:r>
            <w:fldChar w:fldCharType="end"/>
          </w:r>
          <w:r>
            <w:fldChar w:fldCharType="end"/>
          </w:r>
        </w:p>
        <w:p>
          <w:pPr>
            <w:pStyle w:val="TOC3"/>
            <w:tabs>
              <w:tab w:val="right" w:leader="dot" w:pos="8306"/>
            </w:tabs>
          </w:pPr>
          <w:r>
            <w:fldChar w:fldCharType="begin"/>
          </w:r>
          <w:r>
            <w:instrText xml:space="preserve"> HYPERLINK \l _Toc21054 </w:instrText>
          </w:r>
          <w:r>
            <w:fldChar w:fldCharType="separate"/>
          </w:r>
          <w:r>
            <w:rPr>
              <w:rFonts w:hint="default"/>
              <w:lang w:val="en-US" w:eastAsia="zh-CN"/>
            </w:rPr>
            <w:t>5.3.3. 新技术研发</w:t>
          </w:r>
          <w:r>
            <w:tab/>
          </w:r>
          <w:r>
            <w:fldChar w:fldCharType="begin"/>
          </w:r>
          <w:r>
            <w:instrText xml:space="preserve"> PAGEREF _Toc21054 \h </w:instrText>
          </w:r>
          <w:r>
            <w:fldChar w:fldCharType="separate"/>
          </w:r>
          <w:r>
            <w:t>14</w:t>
          </w:r>
          <w:r>
            <w:fldChar w:fldCharType="end"/>
          </w:r>
          <w:r>
            <w:fldChar w:fldCharType="end"/>
          </w:r>
        </w:p>
        <w:p>
          <w:pPr>
            <w:pStyle w:val="TOC3"/>
            <w:tabs>
              <w:tab w:val="right" w:leader="dot" w:pos="8306"/>
            </w:tabs>
          </w:pPr>
          <w:r>
            <w:fldChar w:fldCharType="begin"/>
          </w:r>
          <w:r>
            <w:instrText xml:space="preserve"> HYPERLINK \l _Toc11094 </w:instrText>
          </w:r>
          <w:r>
            <w:fldChar w:fldCharType="separate"/>
          </w:r>
          <w:r>
            <w:rPr>
              <w:rFonts w:hint="default"/>
              <w:lang w:val="en-US" w:eastAsia="zh-CN"/>
            </w:rPr>
            <w:t>5.3.4. 运维工具应用情况</w:t>
          </w:r>
          <w:r>
            <w:tab/>
          </w:r>
          <w:r>
            <w:fldChar w:fldCharType="begin"/>
          </w:r>
          <w:r>
            <w:instrText xml:space="preserve"> PAGEREF _Toc11094 \h </w:instrText>
          </w:r>
          <w:r>
            <w:fldChar w:fldCharType="separate"/>
          </w:r>
          <w:r>
            <w:t>15</w:t>
          </w:r>
          <w:r>
            <w:fldChar w:fldCharType="end"/>
          </w:r>
          <w:r>
            <w:fldChar w:fldCharType="end"/>
          </w:r>
        </w:p>
        <w:p>
          <w:pPr>
            <w:pStyle w:val="TOC2"/>
            <w:tabs>
              <w:tab w:val="right" w:leader="dot" w:pos="8306"/>
            </w:tabs>
          </w:pPr>
          <w:r>
            <w:fldChar w:fldCharType="begin"/>
          </w:r>
          <w:r>
            <w:instrText xml:space="preserve"> HYPERLINK \l _Toc24335 </w:instrText>
          </w:r>
          <w:r>
            <w:fldChar w:fldCharType="separate"/>
          </w:r>
          <w:r>
            <w:rPr>
              <w:rFonts w:hint="default"/>
              <w:lang w:val="en-US" w:eastAsia="zh-CN"/>
            </w:rPr>
            <w:t>5.4. 过程管理</w:t>
          </w:r>
          <w:r>
            <w:tab/>
          </w:r>
          <w:r>
            <w:fldChar w:fldCharType="begin"/>
          </w:r>
          <w:r>
            <w:instrText xml:space="preserve"> PAGEREF _Toc24335 \h </w:instrText>
          </w:r>
          <w:r>
            <w:fldChar w:fldCharType="separate"/>
          </w:r>
          <w:r>
            <w:t>16</w:t>
          </w:r>
          <w:r>
            <w:fldChar w:fldCharType="end"/>
          </w:r>
          <w:r>
            <w:fldChar w:fldCharType="end"/>
          </w:r>
        </w:p>
        <w:p>
          <w:pPr>
            <w:pStyle w:val="TOC2"/>
            <w:tabs>
              <w:tab w:val="right" w:leader="dot" w:pos="8306"/>
            </w:tabs>
          </w:pPr>
          <w:r>
            <w:fldChar w:fldCharType="begin"/>
          </w:r>
          <w:r>
            <w:instrText xml:space="preserve"> HYPERLINK \l _Toc20498 </w:instrText>
          </w:r>
          <w:r>
            <w:fldChar w:fldCharType="separate"/>
          </w:r>
          <w:r>
            <w:rPr>
              <w:rFonts w:hint="default"/>
              <w:lang w:val="en-US" w:eastAsia="zh-CN"/>
            </w:rPr>
            <w:t xml:space="preserve">5.5. </w:t>
          </w:r>
          <w:r>
            <w:rPr>
              <w:rFonts w:hint="eastAsia"/>
              <w:lang w:val="en-US" w:eastAsia="zh-CN"/>
            </w:rPr>
            <w:t>交付能力管理</w:t>
          </w:r>
          <w:r>
            <w:tab/>
          </w:r>
          <w:r>
            <w:fldChar w:fldCharType="begin"/>
          </w:r>
          <w:r>
            <w:instrText xml:space="preserve"> PAGEREF _Toc20498 \h </w:instrText>
          </w:r>
          <w:r>
            <w:fldChar w:fldCharType="separate"/>
          </w:r>
          <w:r>
            <w:t>17</w:t>
          </w:r>
          <w:r>
            <w:fldChar w:fldCharType="end"/>
          </w:r>
          <w:r>
            <w:fldChar w:fldCharType="end"/>
          </w:r>
        </w:p>
        <w:p>
          <w:pPr>
            <w:pStyle w:val="TOC2"/>
            <w:tabs>
              <w:tab w:val="right" w:leader="dot" w:pos="8306"/>
            </w:tabs>
          </w:pPr>
          <w:r>
            <w:fldChar w:fldCharType="begin"/>
          </w:r>
          <w:r>
            <w:instrText xml:space="preserve"> HYPERLINK \l _Toc15598 </w:instrText>
          </w:r>
          <w:r>
            <w:fldChar w:fldCharType="separate"/>
          </w:r>
          <w:r>
            <w:rPr>
              <w:rFonts w:hint="default"/>
              <w:lang w:val="en-US" w:eastAsia="zh-CN"/>
            </w:rPr>
            <w:t xml:space="preserve">5.6. </w:t>
          </w:r>
          <w:r>
            <w:rPr>
              <w:rFonts w:hint="eastAsia"/>
              <w:lang w:val="en-US" w:eastAsia="zh-CN"/>
            </w:rPr>
            <w:t>应急能力管理</w:t>
          </w:r>
          <w:r>
            <w:tab/>
          </w:r>
          <w:r>
            <w:fldChar w:fldCharType="begin"/>
          </w:r>
          <w:r>
            <w:instrText xml:space="preserve"> PAGEREF _Toc15598 \h </w:instrText>
          </w:r>
          <w:r>
            <w:fldChar w:fldCharType="separate"/>
          </w:r>
          <w:r>
            <w:t>18</w:t>
          </w:r>
          <w:r>
            <w:fldChar w:fldCharType="end"/>
          </w:r>
          <w:r>
            <w:fldChar w:fldCharType="end"/>
          </w:r>
        </w:p>
        <w:p>
          <w:pPr>
            <w:pStyle w:val="TOC1"/>
            <w:tabs>
              <w:tab w:val="right" w:leader="dot" w:pos="8306"/>
            </w:tabs>
          </w:pPr>
          <w:r>
            <w:fldChar w:fldCharType="begin"/>
          </w:r>
          <w:r>
            <w:instrText xml:space="preserve"> HYPERLINK \l _Toc18780 </w:instrText>
          </w:r>
          <w:r>
            <w:fldChar w:fldCharType="separate"/>
          </w:r>
          <w:r>
            <w:rPr>
              <w:rFonts w:hint="default"/>
              <w:lang w:val="en-US" w:eastAsia="zh-CN"/>
            </w:rPr>
            <w:t>6. 过程质量控制</w:t>
          </w:r>
          <w:r>
            <w:tab/>
          </w:r>
          <w:r>
            <w:fldChar w:fldCharType="begin"/>
          </w:r>
          <w:r>
            <w:instrText xml:space="preserve"> PAGEREF _Toc18780 \h </w:instrText>
          </w:r>
          <w:r>
            <w:fldChar w:fldCharType="separate"/>
          </w:r>
          <w:r>
            <w:t>19</w:t>
          </w:r>
          <w:r>
            <w:fldChar w:fldCharType="end"/>
          </w:r>
          <w:r>
            <w:fldChar w:fldCharType="end"/>
          </w:r>
        </w:p>
        <w:p>
          <w:pPr>
            <w:pStyle w:val="TOC1"/>
            <w:tabs>
              <w:tab w:val="right" w:leader="dot" w:pos="8306"/>
            </w:tabs>
          </w:pPr>
          <w:r>
            <w:fldChar w:fldCharType="begin"/>
          </w:r>
          <w:r>
            <w:instrText xml:space="preserve"> HYPERLINK \l _Toc13056 </w:instrText>
          </w:r>
          <w:r>
            <w:fldChar w:fldCharType="separate"/>
          </w:r>
          <w:r>
            <w:rPr>
              <w:rFonts w:hint="default"/>
              <w:lang w:val="en-US" w:eastAsia="zh-CN"/>
            </w:rPr>
            <w:t>7. 能力计划遵循的原则</w:t>
          </w:r>
          <w:r>
            <w:tab/>
          </w:r>
          <w:r>
            <w:fldChar w:fldCharType="begin"/>
          </w:r>
          <w:r>
            <w:instrText xml:space="preserve"> PAGEREF _Toc13056 \h </w:instrText>
          </w:r>
          <w:r>
            <w:fldChar w:fldCharType="separate"/>
          </w:r>
          <w:r>
            <w:t>21</w:t>
          </w:r>
          <w:r>
            <w:fldChar w:fldCharType="end"/>
          </w:r>
          <w:r>
            <w:fldChar w:fldCharType="end"/>
          </w:r>
        </w:p>
        <w:p>
          <w:pPr>
            <w:pStyle w:val="TOC1"/>
            <w:tabs>
              <w:tab w:val="right" w:leader="dot" w:pos="8306"/>
            </w:tabs>
          </w:pPr>
          <w:r>
            <w:fldChar w:fldCharType="begin"/>
          </w:r>
          <w:r>
            <w:instrText xml:space="preserve"> HYPERLINK \l _Toc29054 </w:instrText>
          </w:r>
          <w:r>
            <w:fldChar w:fldCharType="separate"/>
          </w:r>
          <w:r>
            <w:rPr>
              <w:rFonts w:hint="default"/>
              <w:lang w:val="en-US" w:eastAsia="zh-CN"/>
            </w:rPr>
            <w:t>8. 输入</w:t>
          </w:r>
          <w:r>
            <w:tab/>
          </w:r>
          <w:r>
            <w:fldChar w:fldCharType="begin"/>
          </w:r>
          <w:r>
            <w:instrText xml:space="preserve"> PAGEREF _Toc29054 \h </w:instrText>
          </w:r>
          <w:r>
            <w:fldChar w:fldCharType="separate"/>
          </w:r>
          <w:r>
            <w:t>21</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eastAsia"/>
          <w:lang w:val="en-US" w:eastAsia="zh-CN"/>
        </w:rPr>
      </w:pPr>
      <w:r>
        <w:rPr>
          <w:rFonts w:hint="eastAsia"/>
          <w:lang w:val="en-US" w:eastAsia="zh-CN"/>
        </w:rPr>
        <w:t>表目录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"表"</w:instrText>
      </w:r>
      <w:r>
        <w:fldChar w:fldCharType="separate"/>
      </w:r>
      <w:r>
        <w:fldChar w:fldCharType="begin"/>
      </w:r>
      <w:r>
        <w:instrText xml:space="preserve"> HYPERLINK \l _Toc17330 </w:instrText>
      </w:r>
      <w:r>
        <w:fldChar w:fldCharType="separate"/>
      </w:r>
      <w:r>
        <w:rPr>
          <w:rFonts w:hint="eastAsia"/>
          <w:lang w:val="en-US" w:eastAsia="zh-CN"/>
        </w:rPr>
        <w:t xml:space="preserve">表 </w:t>
      </w:r>
      <w:r>
        <w:rPr>
          <w:rFonts w:hint="default"/>
          <w:lang w:val="en-US" w:eastAsia="zh-CN"/>
        </w:rPr>
        <w:t>5</w:t>
      </w:r>
      <w:r>
        <w:rPr>
          <w:rFonts w:hint="eastAsia"/>
          <w:lang w:val="en-US" w:eastAsia="zh-CN"/>
        </w:rPr>
        <w:t>-</w:t>
      </w:r>
      <w:r>
        <w:t xml:space="preserve">1 </w:t>
      </w:r>
      <w:r>
        <w:rPr>
          <w:rFonts w:hint="eastAsia"/>
          <w:lang w:val="en-US" w:eastAsia="zh-CN"/>
        </w:rPr>
        <w:t xml:space="preserve"> 运维手册类型表</w:t>
      </w:r>
      <w:r>
        <w:tab/>
      </w:r>
      <w:r>
        <w:fldChar w:fldCharType="begin"/>
      </w:r>
      <w:r>
        <w:instrText xml:space="preserve"> PAGEREF _Toc17330 \h </w:instrText>
      </w:r>
      <w:r>
        <w:fldChar w:fldCharType="separate"/>
      </w:r>
      <w:r>
        <w:t>14</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_Toc6377 </w:instrText>
      </w:r>
      <w:r>
        <w:fldChar w:fldCharType="separate"/>
      </w:r>
      <w:r>
        <w:rPr>
          <w:rFonts w:hint="eastAsia"/>
          <w:lang w:val="en-US" w:eastAsia="zh-CN"/>
        </w:rPr>
        <w:t xml:space="preserve">表 </w:t>
      </w:r>
      <w:r>
        <w:rPr>
          <w:rFonts w:hint="default"/>
          <w:lang w:val="en-US" w:eastAsia="zh-CN"/>
        </w:rPr>
        <w:t>6</w:t>
      </w:r>
      <w:r>
        <w:rPr>
          <w:rFonts w:hint="eastAsia"/>
          <w:lang w:val="en-US" w:eastAsia="zh-CN"/>
        </w:rPr>
        <w:t>-</w:t>
      </w:r>
      <w:r>
        <w:t xml:space="preserve">1 </w:t>
      </w:r>
      <w:r>
        <w:rPr>
          <w:rFonts w:hint="eastAsia"/>
          <w:lang w:val="en-US" w:eastAsia="zh-CN"/>
        </w:rPr>
        <w:t xml:space="preserve"> 过程质量控制流程说明</w:t>
      </w:r>
      <w:r>
        <w:tab/>
      </w:r>
      <w:r>
        <w:fldChar w:fldCharType="begin"/>
      </w:r>
      <w:r>
        <w:instrText xml:space="preserve"> PAGEREF _Toc6377 \h </w:instrText>
      </w:r>
      <w:r>
        <w:fldChar w:fldCharType="separate"/>
      </w:r>
      <w:r>
        <w:t>20</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eastAsia="宋体" w:hint="default"/>
          <w:lang w:val="en-US" w:eastAsia="zh-CN"/>
        </w:rPr>
      </w:pPr>
      <w:r>
        <w:fldChar w:fldCharType="end"/>
      </w:r>
      <w:r>
        <w:rPr>
          <w:rFonts w:hint="eastAsia"/>
          <w:lang w:val="en-US" w:eastAsia="zh-CN"/>
        </w:rPr>
        <w:t>图目录</w:t>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TOC \h \c "图"</w:instrText>
      </w:r>
      <w:r>
        <w:fldChar w:fldCharType="separate"/>
      </w:r>
      <w:r>
        <w:fldChar w:fldCharType="begin"/>
      </w:r>
      <w:r>
        <w:instrText xml:space="preserve"> HYPERLINK \l _Toc15588 </w:instrText>
      </w:r>
      <w:r>
        <w:fldChar w:fldCharType="separate"/>
      </w:r>
      <w:r>
        <w:rPr>
          <w:rFonts w:hint="eastAsia"/>
          <w:lang w:val="en-US" w:eastAsia="zh-CN"/>
        </w:rPr>
        <w:t xml:space="preserve">图 </w:t>
      </w:r>
      <w:r>
        <w:rPr>
          <w:rFonts w:hint="default"/>
          <w:lang w:val="en-US" w:eastAsia="zh-CN"/>
        </w:rPr>
        <w:t>4</w:t>
      </w:r>
      <w:r>
        <w:rPr>
          <w:rFonts w:hint="eastAsia"/>
          <w:lang w:val="en-US" w:eastAsia="zh-CN"/>
        </w:rPr>
        <w:t>-</w:t>
      </w:r>
      <w:r>
        <w:t xml:space="preserve">1 </w:t>
      </w:r>
      <w:r>
        <w:rPr>
          <w:rFonts w:hint="eastAsia"/>
          <w:lang w:val="en-US" w:eastAsia="zh-CN"/>
        </w:rPr>
        <w:t xml:space="preserve"> 能力策划流程图</w:t>
      </w:r>
      <w:r>
        <w:tab/>
      </w:r>
      <w:r>
        <w:fldChar w:fldCharType="begin"/>
      </w:r>
      <w:r>
        <w:instrText xml:space="preserve"> PAGEREF _Toc15588 \h </w:instrText>
      </w:r>
      <w:r>
        <w:fldChar w:fldCharType="separate"/>
      </w:r>
      <w:r>
        <w:t>9</w:t>
      </w:r>
      <w:r>
        <w:fldChar w:fldCharType="end"/>
      </w:r>
      <w:r>
        <w:fldChar w:fldCharType="end"/>
      </w:r>
    </w:p>
    <w:p>
      <w:pPr>
        <w:pStyle w:val="TableofFigures"/>
        <w:keepNext w:val="0"/>
        <w:keepLines w:val="0"/>
        <w:pageBreakBefore w:val="0"/>
        <w:widowControl w:val="0"/>
        <w:tabs>
          <w:tab w:val="right" w:leader="dot" w:pos="8306"/>
        </w:tabs>
        <w:kinsoku w:val="0"/>
        <w:wordWrap/>
        <w:overflowPunct/>
        <w:topLinePunct w:val="0"/>
        <w:autoSpaceDE w:val="0"/>
        <w:autoSpaceDN w:val="0"/>
        <w:bidi w:val="0"/>
        <w:adjustRightInd w:val="0"/>
        <w:snapToGrid w:val="0"/>
        <w:textAlignment w:val="baseline"/>
      </w:pPr>
      <w:r>
        <w:fldChar w:fldCharType="begin"/>
      </w:r>
      <w:r>
        <w:instrText xml:space="preserve"> HYPERLINK \l _Toc18864 </w:instrText>
      </w:r>
      <w:r>
        <w:fldChar w:fldCharType="separate"/>
      </w:r>
      <w:r>
        <w:rPr>
          <w:rFonts w:hint="eastAsia"/>
          <w:lang w:val="en-US" w:eastAsia="zh-CN"/>
        </w:rPr>
        <w:t xml:space="preserve">图 </w:t>
      </w:r>
      <w:r>
        <w:rPr>
          <w:rFonts w:hint="default"/>
          <w:lang w:val="en-US" w:eastAsia="zh-CN"/>
        </w:rPr>
        <w:t>6</w:t>
      </w:r>
      <w:r>
        <w:rPr>
          <w:rFonts w:hint="eastAsia"/>
          <w:lang w:val="en-US" w:eastAsia="zh-CN"/>
        </w:rPr>
        <w:t>-</w:t>
      </w:r>
      <w:r>
        <w:t xml:space="preserve">1 </w:t>
      </w:r>
      <w:r>
        <w:rPr>
          <w:rFonts w:hint="eastAsia"/>
          <w:lang w:val="en-US" w:eastAsia="zh-CN"/>
        </w:rPr>
        <w:t xml:space="preserve"> 质量控制流程图</w:t>
      </w:r>
      <w:r>
        <w:tab/>
      </w:r>
      <w:r>
        <w:fldChar w:fldCharType="begin"/>
      </w:r>
      <w:r>
        <w:instrText xml:space="preserve"> PAGEREF _Toc18864 \h </w:instrText>
      </w:r>
      <w:r>
        <w:fldChar w:fldCharType="separate"/>
      </w:r>
      <w:r>
        <w:t>19</w:t>
      </w:r>
      <w:r>
        <w:fldChar w:fldCharType="end"/>
      </w: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p>
      <w:pPr>
        <w:keepNext w:val="0"/>
        <w:keepLines w:val="0"/>
        <w:pageBreakBefore w:val="0"/>
        <w:widowControl w:val="0"/>
        <w:kinsoku w:val="0"/>
        <w:wordWrap/>
        <w:overflowPunct/>
        <w:topLinePunct w:val="0"/>
        <w:autoSpaceDE w:val="0"/>
        <w:autoSpaceDN w:val="0"/>
        <w:bidi w:val="0"/>
        <w:adjustRightInd w:val="0"/>
        <w:snapToGrid w:val="0"/>
        <w:textAlignment w:val="baseline"/>
      </w:pP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br w:type="page"/>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26613"/>
      <w:bookmarkStart w:id="2" w:name="_Toc8543"/>
      <w:r>
        <w:rPr>
          <w:rFonts w:hint="default"/>
          <w:lang w:val="en-US" w:eastAsia="zh-CN"/>
        </w:rPr>
        <w:t>目的</w:t>
      </w:r>
      <w:bookmarkEnd w:id="1"/>
      <w:bookmarkEnd w:id="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本制度用于明确华风数据(深圳)有限公司（以下简称“公司”）运维能力管理的范围，确定能力管理计划、能力指标体系、技术研发规划的策划、编制、执行、监督及总结过程，确保公司在</w:t>
      </w:r>
      <w:r>
        <w:rPr>
          <w:rStyle w:val="Char"/>
          <w:rFonts w:hint="default"/>
        </w:rPr>
        <w:t>人员、资源、技术、过程、交付</w:t>
      </w:r>
      <w:r>
        <w:rPr>
          <w:rStyle w:val="Char"/>
          <w:rFonts w:hint="eastAsia"/>
          <w:lang w:val="en-US"/>
        </w:rPr>
        <w:t>和</w:t>
      </w:r>
      <w:r>
        <w:rPr>
          <w:rStyle w:val="Char"/>
          <w:rFonts w:hint="default"/>
        </w:rPr>
        <w:t>应急</w:t>
      </w:r>
      <w:r>
        <w:rPr>
          <w:rStyle w:val="Char"/>
          <w:rFonts w:hint="eastAsia"/>
          <w:lang w:val="en-US"/>
        </w:rPr>
        <w:t>方面</w:t>
      </w:r>
      <w:r>
        <w:rPr>
          <w:rFonts w:ascii="Segoe UI" w:eastAsia="Segoe UI" w:hAnsi="Segoe UI" w:cs="Segoe UI" w:hint="default"/>
          <w:i w:val="0"/>
          <w:iCs w:val="0"/>
          <w:caps w:val="0"/>
          <w:color w:val="0F1115"/>
          <w:spacing w:val="0"/>
          <w:sz w:val="24"/>
          <w:szCs w:val="24"/>
          <w:shd w:val="clear" w:color="auto" w:fill="FFFFFF"/>
        </w:rPr>
        <w:t>具备满足客户需求和业务发展要求的运维服务能力。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11923"/>
      <w:bookmarkStart w:id="4" w:name="_Toc10097"/>
      <w:r>
        <w:rPr>
          <w:rFonts w:hint="default"/>
          <w:lang w:val="en-US" w:eastAsia="zh-CN"/>
        </w:rPr>
        <w:t>范围</w:t>
      </w:r>
      <w:bookmarkEnd w:id="3"/>
      <w:bookmarkEnd w:id="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本制度覆盖公司运维及相关部门，具体包括：运维部、研发部、产品质量部、综合部、采购部、应急管理部。</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15044"/>
      <w:bookmarkStart w:id="6" w:name="_Toc8880"/>
      <w:r>
        <w:rPr>
          <w:rFonts w:hint="default"/>
          <w:lang w:val="en-US" w:eastAsia="zh-CN"/>
        </w:rPr>
        <w:t>角色和职责</w:t>
      </w:r>
      <w:bookmarkEnd w:id="5"/>
      <w:bookmarkEnd w:id="6"/>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13740"/>
      <w:bookmarkStart w:id="8" w:name="_Toc32670"/>
      <w:r>
        <w:rPr>
          <w:rFonts w:hint="default"/>
          <w:lang w:val="en-US" w:eastAsia="zh-CN"/>
        </w:rPr>
        <w:t>管理层</w:t>
      </w:r>
      <w:bookmarkEnd w:id="7"/>
      <w:bookmarkEnd w:id="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负责本制度的批准。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负责公司运维服务能力管理的总体决策和资源保障。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统筹人员、资源、技术、过程、交付和应急六大能力域的资源配置。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审批年度运维服务能力管理计划和重大改进措施。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为运维服务能力建设提供必要的资源支持</w:t>
      </w:r>
      <w:r>
        <w:rPr>
          <w:rFonts w:hint="eastAsia"/>
          <w:lang w:val="en-US" w:eastAsia="zh-CN"/>
        </w:rPr>
        <w:t>。</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26559"/>
      <w:bookmarkStart w:id="10" w:name="_Toc22449"/>
      <w:r>
        <w:rPr>
          <w:rFonts w:hint="default"/>
          <w:lang w:val="en-US" w:eastAsia="zh-CN"/>
        </w:rPr>
        <w:t>运维部</w:t>
      </w:r>
      <w:bookmarkEnd w:id="9"/>
      <w:bookmarkEnd w:id="1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运维部是运维服务能力管理的核心执行部门，负责运维服务能力的规划、实施和改进。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负责本制度的制定和修改的主体部门。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负责运维服务能力实施过程的实施与改进。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负责组织级服务目录的制定和更新，为能力策划提供依据。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负责交付能力域的管理，包括交付流程规划、交付资源协调、交付质量控制等。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负责应急响应能力域的执行，作为应急响应的执行主体，负责重大故障和突发事件的现场处置和恢复工作。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负责备件库的日常管理，包括备件规划、库存管理、借用调拨等，确保备件资源满足运维服务能力要求。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负责服务台的日常运行，确保事件响应和服务请求处理能力满足服务级别要求。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负责收集一线运维实践中的知识素材，提交</w:t>
      </w:r>
      <w:r>
        <w:rPr>
          <w:rFonts w:hint="eastAsia"/>
          <w:lang w:val="en-US" w:eastAsia="zh-CN"/>
        </w:rPr>
        <w:t>服务知识</w:t>
      </w:r>
      <w:r>
        <w:rPr>
          <w:rFonts w:hint="default"/>
          <w:lang w:val="en-US" w:eastAsia="zh-CN"/>
        </w:rPr>
        <w:t>进行整理。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25812"/>
      <w:bookmarkStart w:id="12" w:name="_Toc29396"/>
      <w:r>
        <w:rPr>
          <w:rFonts w:hint="default"/>
          <w:lang w:val="en-US" w:eastAsia="zh-CN"/>
        </w:rPr>
        <w:t>研发部</w:t>
      </w:r>
      <w:bookmarkEnd w:id="11"/>
      <w:bookmarkEnd w:id="1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研发部是运维技术研发的支撑部门，负责技术能力规划建设。</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负责运维技术的研发规划与实施，包括运维工具研发、技术难题攻关等。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负责运维监控工具、管理工具的部署和维护，为运维服务能力提供技术支撑。</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3" w:name="_Toc153"/>
      <w:bookmarkStart w:id="14" w:name="_Toc10113"/>
      <w:r>
        <w:rPr>
          <w:rFonts w:hint="default"/>
          <w:lang w:val="en-US" w:eastAsia="zh-CN"/>
        </w:rPr>
        <w:t>产品质量部</w:t>
      </w:r>
      <w:bookmarkEnd w:id="13"/>
      <w:bookmarkEnd w:id="1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产品质量部是运维服务能力管理的监督和改进部门，负责能力计划的监督、检查和改进跟踪。</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负责过程能力域的管理，包括过程质量监督、过程改进等。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负责公司运维服务能力计划实施的过程监督、检查和改进。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负责运维服务能力KPI指标体系的制定和维护。</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负责组织客户满意度调查，为能力改进提供输入。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参与交付能力域的质量监督，对交付成果进行质量检查。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参与应急能力域的复盘改进，从质量管理角度监督改进措施的落实。</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5" w:name="_Toc19819"/>
      <w:bookmarkStart w:id="16" w:name="_Toc26284"/>
      <w:r>
        <w:rPr>
          <w:rFonts w:hint="default"/>
          <w:lang w:val="en-US" w:eastAsia="zh-CN"/>
        </w:rPr>
        <w:t>综合部</w:t>
      </w:r>
      <w:bookmarkEnd w:id="15"/>
      <w:bookmarkEnd w:id="1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综合部是公司人力资源和行政后勤的保障部门，负责人员管理和行政支持。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负责运维人员的招聘、培训、绩效、薪酬等人力资源管理工作。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负责运维岗位结构的维护和更新，制定《岗位职责说明书》。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负责运维人员的经验维护和更新，建立《员工档案》。</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负责制定运维服务相关人员管理系列计划，包括人员招聘计划、关键岗位储备计划、人员培训计划、人员绩效考核计划等。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负责公司相关资质、证书、资料归档工作。</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7" w:name="_Toc15103"/>
      <w:bookmarkStart w:id="18" w:name="_Toc839"/>
      <w:r>
        <w:rPr>
          <w:rFonts w:hint="default"/>
          <w:lang w:val="en-US" w:eastAsia="zh-CN"/>
        </w:rPr>
        <w:t>采购部</w:t>
      </w:r>
      <w:bookmarkEnd w:id="17"/>
      <w:bookmarkEnd w:id="1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采购部是公司运维服务资源保障的重要组成部分，负责运维物资、备品备件的采购与供应商管理。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参与本制度的制定和修改。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根据运维部备件库提出的采购需求，制定采购计划并组织实施。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负责供应商的准入、评估、考核管理，确保备件资源的质量和供应稳定性。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配合产品质量部、运维部对采购物资的质量问题进行追溯。</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9" w:name="_Toc6361"/>
      <w:bookmarkStart w:id="20" w:name="_Toc2572"/>
      <w:r>
        <w:rPr>
          <w:rFonts w:hint="default"/>
          <w:lang w:val="en-US" w:eastAsia="zh-CN"/>
        </w:rPr>
        <w:t>应急管理部</w:t>
      </w:r>
      <w:bookmarkEnd w:id="19"/>
      <w:bookmarkEnd w:id="2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应急管理部由公司副总经理分管，副总经理全面负责应急管理部的统筹协调和重大事项决策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应急管理部是公司运维服务应急保障部门，负责应急预案、应急演练和重大事件处置。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主要职责：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根据本制度要求，执行和本部门相关的能力计划。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参与本制度的评审和改进活动。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负责应急预案的制定、评审和更新，确保应急能力满足运维服务要求。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负责组织应急演练，提升应急响应能力。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负责重大应急事件的指挥调度和复盘改进。</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1" w:name="_Toc24365"/>
      <w:bookmarkStart w:id="22" w:name="_Toc25468"/>
      <w:r>
        <w:rPr>
          <w:rFonts w:hint="default"/>
          <w:lang w:val="en-US" w:eastAsia="zh-CN"/>
        </w:rPr>
        <w:t>具体内容</w:t>
      </w:r>
      <w:bookmarkEnd w:id="21"/>
      <w:bookmarkEnd w:id="22"/>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3" w:name="_Toc26097"/>
      <w:bookmarkStart w:id="24" w:name="_Toc3890"/>
      <w:r>
        <w:rPr>
          <w:rFonts w:hint="default"/>
          <w:lang w:val="en-US" w:eastAsia="zh-CN"/>
        </w:rPr>
        <w:t>能力策划流程图</w:t>
      </w:r>
      <w:bookmarkEnd w:id="23"/>
      <w:bookmarkEnd w:id="24"/>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4</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25" w:name="_Toc29313"/>
      <w:bookmarkStart w:id="26" w:name="_Toc15588"/>
      <w:r>
        <w:rPr>
          <w:rFonts w:hint="eastAsia"/>
          <w:lang w:val="en-US" w:eastAsia="zh-CN"/>
        </w:rPr>
        <w:t xml:space="preserve"> 能力策划流程图</w:t>
      </w:r>
      <w:bookmarkEnd w:id="25"/>
      <w:bookmarkEnd w:id="26"/>
    </w:p>
    <w:p>
      <w:pPr>
        <w:pStyle w:val="a1"/>
        <w:keepNext w:val="0"/>
        <w:keepLines w:val="0"/>
        <w:pageBreakBefore w:val="0"/>
        <w:widowControl w:val="0"/>
        <w:kinsoku w:val="0"/>
        <w:wordWrap/>
        <w:overflowPunct/>
        <w:topLinePunct w:val="0"/>
        <w:autoSpaceDE w:val="0"/>
        <w:autoSpaceDN w:val="0"/>
        <w:bidi w:val="0"/>
        <w:adjustRightInd w:val="0"/>
        <w:snapToGrid w:val="0"/>
        <w:ind w:left="0" w:firstLine="0" w:leftChars="0" w:firstLineChars="0"/>
        <w:jc w:val="center"/>
        <w:textAlignment w:val="baseline"/>
        <w:rPr>
          <w:rFonts w:hint="default"/>
          <w:lang w:val="en-US" w:eastAsia="zh-CN"/>
        </w:rPr>
      </w:pPr>
      <w:r>
        <w:drawing>
          <wp:inline distT="0" distB="0" distL="114300" distR="114300">
            <wp:extent cx="3391535" cy="4465955"/>
            <wp:effectExtent l="0" t="0" r="6985" b="146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xmlns:r="http://schemas.openxmlformats.org/officeDocument/2006/relationships" r:embed="rId4"/>
                    <a:stretch>
                      <a:fillRect/>
                    </a:stretch>
                  </pic:blipFill>
                  <pic:spPr>
                    <a:xfrm>
                      <a:off x="0" y="0"/>
                      <a:ext cx="3391535" cy="4465955"/>
                    </a:xfrm>
                    <a:prstGeom prst="rect">
                      <a:avLst/>
                    </a:prstGeom>
                    <a:noFill/>
                    <a:ln>
                      <a:noFill/>
                    </a:ln>
                  </pic:spPr>
                </pic:pic>
              </a:graphicData>
            </a:graphic>
          </wp:inline>
        </w:drawing>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7" w:name="_Toc14304"/>
      <w:bookmarkStart w:id="28" w:name="_Toc161"/>
      <w:r>
        <w:rPr>
          <w:rFonts w:hint="default"/>
          <w:lang w:val="en-US" w:eastAsia="zh-CN"/>
        </w:rPr>
        <w:t>能力策划</w:t>
      </w:r>
      <w:bookmarkEnd w:id="27"/>
      <w:bookmarkEnd w:id="2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为了对运行维护服务能力进行整体策划并提供必要的资源支持，以确保公司有能力提供良好稳定的IT运维服务。公司</w:t>
      </w:r>
      <w:r>
        <w:rPr>
          <w:rFonts w:hint="eastAsia"/>
          <w:lang w:val="en-US" w:eastAsia="zh-CN"/>
        </w:rPr>
        <w:t>每年年初</w:t>
      </w:r>
      <w:r>
        <w:rPr>
          <w:rFonts w:hint="default"/>
          <w:lang w:val="en-US" w:eastAsia="zh-CN"/>
        </w:rPr>
        <w:t>根据上年的经营情况和本年度的业务需求，主要从以下几方面对运维服务能力进行策划。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基于公司的发展战略，公司管理层每年制定年度公司运维业务发展目标，结合公司的具体业务能力范围，形成运维战略发展相关文件及目标下发给各相关部门。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运维部根据组织级服务目录、服务级别协议及其他相关活动所提出的能力需求，进行现状评估，根据现状评估报告与能力需求分析报告，进行差距分析，形成差距分析报告，作为本年度运维服务能力策划的依据。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运维部负责安排人员根据公司运维业务战略规划制定《年度运维服务能力管理计划》。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运维部根据公司制定的年度总体规划及年度运维服务能力管理计划，协调相关部门落实运维服务要素（人员、资源、技术</w:t>
      </w:r>
      <w:r>
        <w:rPr>
          <w:rFonts w:hint="eastAsia"/>
          <w:lang w:val="en-US" w:eastAsia="zh-CN"/>
        </w:rPr>
        <w:t>、</w:t>
      </w:r>
      <w:r>
        <w:rPr>
          <w:rFonts w:hint="default"/>
          <w:lang w:val="en-US" w:eastAsia="zh-CN"/>
        </w:rPr>
        <w:t>过程</w:t>
      </w:r>
      <w:r>
        <w:rPr>
          <w:rFonts w:hint="eastAsia"/>
          <w:lang w:val="en-US" w:eastAsia="zh-CN"/>
        </w:rPr>
        <w:t>、交付和应急</w:t>
      </w:r>
      <w:r>
        <w:rPr>
          <w:rFonts w:hint="default"/>
          <w:lang w:val="en-US" w:eastAsia="zh-CN"/>
        </w:rPr>
        <w:t>）的工作安排和职责。</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18510"/>
      <w:bookmarkStart w:id="30" w:name="_Toc25933"/>
      <w:r>
        <w:rPr>
          <w:rFonts w:hint="default"/>
          <w:lang w:val="en-US" w:eastAsia="zh-CN"/>
        </w:rPr>
        <w:t>审批</w:t>
      </w:r>
      <w:bookmarkEnd w:id="29"/>
      <w:bookmarkEnd w:id="3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管理者代表</w:t>
      </w:r>
      <w:r>
        <w:rPr>
          <w:rFonts w:hint="default"/>
          <w:lang w:val="en-US" w:eastAsia="zh-CN"/>
        </w:rPr>
        <w:t>负责对公司年度运维服务能力管理计划、能力指标体系和技术研发规划进行审核，总经理进行批准。总经理主要负责从公司整体能力管理计划的适宜性及完整性方面考虑。</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28750"/>
      <w:bookmarkStart w:id="32" w:name="_Toc12681"/>
      <w:r>
        <w:rPr>
          <w:rFonts w:hint="default"/>
          <w:lang w:val="en-US" w:eastAsia="zh-CN"/>
        </w:rPr>
        <w:t>执行</w:t>
      </w:r>
      <w:bookmarkEnd w:id="31"/>
      <w:bookmarkEnd w:id="3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根据整体能力管理计划制定满足整体策划的《运维服务能力管理计划》，并交付各部门按计划实施。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各部门按照服务能力要求实施管理活动并记录，确保服务能力管理和服务过程实施可追溯，服务结果可计量或可评估。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各部门按照《运维服务能力管理计划》提交满足质量要求的交付物，如运维服务质量报告、运维服务能力管理计划的实施结果或总结报告。</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21692"/>
      <w:bookmarkStart w:id="34" w:name="_Toc16997"/>
      <w:r>
        <w:rPr>
          <w:rFonts w:hint="default"/>
          <w:lang w:val="en-US" w:eastAsia="zh-CN"/>
        </w:rPr>
        <w:t>监督</w:t>
      </w:r>
      <w:bookmarkEnd w:id="33"/>
      <w:bookmarkEnd w:id="3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《运维服务能力管理计划》的编制和实施部门对制定的计划实施情况跟踪，形成计划执行结果报告。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产品质量部对运维服务管理相关计划实施进行监督和管理，定期检查各部门计划执行和落实情况是否符合要求。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产品质量部检查运维计划（人员、资源、过程、技术</w:t>
      </w:r>
      <w:r>
        <w:rPr>
          <w:rFonts w:hint="eastAsia"/>
          <w:lang w:val="en-US" w:eastAsia="zh-CN"/>
        </w:rPr>
        <w:t>、交付和应急</w:t>
      </w:r>
      <w:r>
        <w:rPr>
          <w:rFonts w:hint="default"/>
          <w:lang w:val="en-US" w:eastAsia="zh-CN"/>
        </w:rPr>
        <w:t>）执行落实情况并跟踪改进结果，及时上报给总经理。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22602"/>
      <w:bookmarkStart w:id="36" w:name="_Toc796"/>
      <w:r>
        <w:rPr>
          <w:rFonts w:hint="default"/>
          <w:lang w:val="en-US" w:eastAsia="zh-CN"/>
        </w:rPr>
        <w:t>年度总结</w:t>
      </w:r>
      <w:bookmarkEnd w:id="35"/>
      <w:bookmarkEnd w:id="3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每年年末</w:t>
      </w:r>
      <w:r>
        <w:rPr>
          <w:rFonts w:hint="default"/>
          <w:lang w:val="en-US" w:eastAsia="zh-CN"/>
        </w:rPr>
        <w:t>，运维部、研发部、产品质量部、综合部、采购部、应急管理部共同对运维服务能力管理计划、能力指标体系执行情况进行年度总结，记录各部门在执行过程中积累的经验和教训，并互相分享，经由汇总后形成《运维服务能力总结报告》为下一年度运维服务能力策划提供参考依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综合部负责将相关记录（运维服务能力计划、检查记录、年度总结材料、经验教训等）入公司资料库，进行统一管理。</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29392"/>
      <w:bookmarkStart w:id="38" w:name="_Toc24836"/>
      <w:r>
        <w:rPr>
          <w:rFonts w:hint="default"/>
          <w:lang w:val="en-US" w:eastAsia="zh-CN"/>
        </w:rPr>
        <w:t>改进</w:t>
      </w:r>
      <w:bookmarkEnd w:id="37"/>
      <w:bookmarkEnd w:id="3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每年度</w:t>
      </w:r>
      <w:r>
        <w:rPr>
          <w:rFonts w:hint="default"/>
          <w:lang w:val="en-US" w:eastAsia="zh-CN"/>
        </w:rPr>
        <w:t>产品质量部经理对计划执行出现的问题或要处理的情况进行协调，形成改进措施。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由产品质量部组织管理评审会议，公司管理层对年度工作进行总结，其中包括对运维服务目标进行总结并提交改进建议。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对未达成的指标进行调查分析，并形成指标调查分析报告或记录。根据当年计划执行情况制定下年度《运维服务能力管理计划》。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19595"/>
      <w:bookmarkStart w:id="40" w:name="_Toc14689"/>
      <w:r>
        <w:rPr>
          <w:rFonts w:hint="default"/>
          <w:lang w:val="en-US" w:eastAsia="zh-CN"/>
        </w:rPr>
        <w:t>运维服务管理体系的维护</w:t>
      </w:r>
      <w:bookmarkEnd w:id="39"/>
      <w:bookmarkEnd w:id="4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运维服务管理体系统一由运维部进行策划，按照内审和管评结果更新和维护体系。</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负责运维服务体系的日常执行，由产品质量部的</w:t>
      </w:r>
      <w:r>
        <w:rPr>
          <w:rFonts w:hint="eastAsia"/>
          <w:lang w:val="en-US" w:eastAsia="zh-CN"/>
        </w:rPr>
        <w:t>产品质量部专员</w:t>
      </w:r>
      <w:r>
        <w:rPr>
          <w:rFonts w:hint="default"/>
          <w:lang w:val="en-US" w:eastAsia="zh-CN"/>
        </w:rPr>
        <w:t>按照运维服务质量管理计划执行监督和检查，产品质量部对</w:t>
      </w:r>
      <w:r>
        <w:rPr>
          <w:rFonts w:hint="eastAsia"/>
          <w:lang w:val="en-US" w:eastAsia="zh-CN"/>
        </w:rPr>
        <w:t>产品质量部专员</w:t>
      </w:r>
      <w:r>
        <w:rPr>
          <w:rFonts w:hint="default"/>
          <w:lang w:val="en-US" w:eastAsia="zh-CN"/>
        </w:rPr>
        <w:t>日常工作进行定期检查。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公司产品质量部每年至少组织一次内审和管评活动，收集改进建议，纳入到体系改进计划中，以便对体系进行更新和维护。</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1" w:name="_Toc18853"/>
      <w:bookmarkStart w:id="42" w:name="_Toc4735"/>
      <w:r>
        <w:rPr>
          <w:rFonts w:hint="eastAsia"/>
          <w:lang w:val="en-US" w:eastAsia="zh-CN"/>
        </w:rPr>
        <w:t>能力管理细则</w:t>
      </w:r>
      <w:bookmarkEnd w:id="41"/>
      <w:bookmarkEnd w:id="42"/>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为了保障服务质量、不断提高客户满意度，根据我公司运维服务体系的方针，运维相关部门分别从人员、资源、过程</w:t>
      </w:r>
      <w:r>
        <w:rPr>
          <w:rFonts w:hint="eastAsia"/>
          <w:lang w:val="en-US" w:eastAsia="zh-CN"/>
        </w:rPr>
        <w:t>、</w:t>
      </w:r>
      <w:r>
        <w:rPr>
          <w:rFonts w:hint="default"/>
          <w:lang w:val="en-US" w:eastAsia="zh-CN"/>
        </w:rPr>
        <w:t>技术</w:t>
      </w:r>
      <w:r>
        <w:rPr>
          <w:rFonts w:hint="eastAsia"/>
          <w:lang w:val="en-US" w:eastAsia="zh-CN"/>
        </w:rPr>
        <w:t>、交付和应急</w:t>
      </w:r>
      <w:r>
        <w:rPr>
          <w:rFonts w:hint="default"/>
          <w:lang w:val="en-US" w:eastAsia="zh-CN"/>
        </w:rPr>
        <w:t>方面策划运维服务并制定具体的工作计划。</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3" w:name="_Toc24802"/>
      <w:bookmarkStart w:id="44" w:name="_Toc30516"/>
      <w:r>
        <w:rPr>
          <w:rFonts w:hint="default"/>
          <w:lang w:val="en-US" w:eastAsia="zh-CN"/>
        </w:rPr>
        <w:t>人员管理</w:t>
      </w:r>
      <w:bookmarkEnd w:id="43"/>
      <w:bookmarkEnd w:id="44"/>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运维人员岗位结构和职责由综合部制定，由综合部对运维岗位结构进行维护和更新，具体详见《岗位职责说明书》。</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由综合部根据公司《人员绩效考核及技能评价管理制度》对运维人员绩效考核进行管理，每月度对运维人员进行绩效考核，将考核结果汇总到综合部。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综合部每年对运维人员的经验进行维护和更新，更新到《员工档案》中。</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综合部根据业务及人员发展的需要，制定运维服务人员必须具备的知识水平要求。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关于运维服务人员的培训，按照公司的《人员培训管理制度》执行，综合部根据运维工作需要开展与运维相关的培训工作，具体内容参照《人员培训管理计划》。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综合部基于年度业务发展的需要，每年制定运维服务相关人员管理系列计划，包括人员招聘计划、关键岗位储备计划、人员培训计划、人员绩效考核计划等几大方面内容。</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5" w:name="_Toc10046"/>
      <w:bookmarkStart w:id="46" w:name="_Toc29915"/>
      <w:r>
        <w:rPr>
          <w:rFonts w:hint="default"/>
          <w:lang w:val="en-US" w:eastAsia="zh-CN"/>
        </w:rPr>
        <w:t>资源管理</w:t>
      </w:r>
      <w:bookmarkEnd w:id="45"/>
      <w:bookmarkEnd w:id="46"/>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7" w:name="_Toc18661"/>
      <w:bookmarkStart w:id="48" w:name="_Toc17606"/>
      <w:r>
        <w:rPr>
          <w:rFonts w:hint="eastAsia"/>
          <w:lang w:val="en-US" w:eastAsia="zh-CN"/>
        </w:rPr>
        <w:t>服务知识</w:t>
      </w:r>
      <w:r>
        <w:rPr>
          <w:rFonts w:hint="default"/>
          <w:lang w:val="en-US" w:eastAsia="zh-CN"/>
        </w:rPr>
        <w:t>管理</w:t>
      </w:r>
      <w:bookmarkEnd w:id="47"/>
      <w:bookmarkEnd w:id="4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w:t>
      </w:r>
      <w:r>
        <w:rPr>
          <w:rFonts w:hint="default"/>
          <w:lang w:val="en-US" w:eastAsia="zh-CN"/>
        </w:rPr>
        <w:t>由</w:t>
      </w:r>
      <w:r>
        <w:rPr>
          <w:rFonts w:ascii="Segoe UI" w:eastAsia="Segoe UI" w:hAnsi="Segoe UI" w:cs="Segoe UI"/>
          <w:i w:val="0"/>
          <w:iCs w:val="0"/>
          <w:caps w:val="0"/>
          <w:color w:val="0F1115"/>
          <w:spacing w:val="0"/>
          <w:sz w:val="22"/>
          <w:szCs w:val="22"/>
          <w:shd w:val="clear" w:color="auto" w:fill="FFFFFF"/>
        </w:rPr>
        <w:t>运维部服务知识专员建立并维护</w:t>
      </w:r>
      <w:r>
        <w:rPr>
          <w:rFonts w:hint="default"/>
          <w:lang w:val="en-US" w:eastAsia="zh-CN"/>
        </w:rPr>
        <w:t>，</w:t>
      </w:r>
      <w:r>
        <w:rPr>
          <w:rFonts w:hint="eastAsia"/>
          <w:lang w:val="en-US" w:eastAsia="zh-CN"/>
        </w:rPr>
        <w:t>服务知识</w:t>
      </w:r>
      <w:r>
        <w:rPr>
          <w:rFonts w:hint="default"/>
          <w:lang w:val="en-US" w:eastAsia="zh-CN"/>
        </w:rPr>
        <w:t>归属公司的资产库，为运维服务团队人员建立专门的知识共享平台，由</w:t>
      </w:r>
      <w:r>
        <w:rPr>
          <w:rFonts w:hint="eastAsia"/>
          <w:lang w:val="en-US" w:eastAsia="zh-CN"/>
        </w:rPr>
        <w:t>运维部下属的服务知识专员</w:t>
      </w:r>
      <w:r>
        <w:rPr>
          <w:rFonts w:hint="default"/>
          <w:lang w:val="en-US" w:eastAsia="zh-CN"/>
        </w:rPr>
        <w:t>进行维护，提供常见问题解答、运维服务经验分享、系统安全服务等多种服务内容，通过知识共享平台提高现场运维服务效率和运维工程师能力。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运维部下设的</w:t>
      </w:r>
      <w:r>
        <w:rPr>
          <w:rFonts w:hint="eastAsia"/>
          <w:lang w:val="en-US" w:eastAsia="zh-CN"/>
        </w:rPr>
        <w:t>服务知识</w:t>
      </w:r>
      <w:r>
        <w:rPr>
          <w:rFonts w:hint="default"/>
          <w:lang w:val="en-US" w:eastAsia="zh-CN"/>
        </w:rPr>
        <w:t>负责一线知识的收集、整理和初步审核，将整理好的知识提交</w:t>
      </w:r>
      <w:r>
        <w:rPr>
          <w:rFonts w:hint="eastAsia"/>
          <w:lang w:val="en-US" w:eastAsia="zh-CN"/>
        </w:rPr>
        <w:t>运维部经理</w:t>
      </w:r>
      <w:r>
        <w:rPr>
          <w:rFonts w:hint="default"/>
          <w:lang w:val="en-US" w:eastAsia="zh-CN"/>
        </w:rPr>
        <w:t>进行评审和入库。</w:t>
      </w:r>
      <w:r>
        <w:rPr>
          <w:rFonts w:hint="eastAsia"/>
          <w:lang w:val="en-US" w:eastAsia="zh-CN"/>
        </w:rPr>
        <w:t>服务知识</w:t>
      </w:r>
      <w:r>
        <w:rPr>
          <w:rFonts w:hint="default"/>
          <w:lang w:val="en-US" w:eastAsia="zh-CN"/>
        </w:rPr>
        <w:t>管理按照《</w:t>
      </w:r>
      <w:r>
        <w:rPr>
          <w:rFonts w:hint="eastAsia"/>
          <w:lang w:val="en-US" w:eastAsia="zh-CN"/>
        </w:rPr>
        <w:t>服务知识</w:t>
      </w:r>
      <w:r>
        <w:rPr>
          <w:rFonts w:hint="default"/>
          <w:lang w:val="en-US" w:eastAsia="zh-CN"/>
        </w:rPr>
        <w:t>管理制度》进行管理和维护。</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9" w:name="_Toc21973"/>
      <w:bookmarkStart w:id="50" w:name="_Toc31468"/>
      <w:r>
        <w:rPr>
          <w:rFonts w:hint="default"/>
          <w:lang w:val="en-US" w:eastAsia="zh-CN"/>
        </w:rPr>
        <w:t>运维工具管理</w:t>
      </w:r>
      <w:bookmarkEnd w:id="49"/>
      <w:bookmarkEnd w:id="5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运维管理工具采用开源的itop，监控工具采用</w:t>
      </w:r>
      <w:r>
        <w:rPr>
          <w:rFonts w:hint="eastAsia"/>
          <w:lang w:val="en-US" w:eastAsia="zh-CN"/>
        </w:rPr>
        <w:t>华风数据</w:t>
      </w:r>
      <w:bookmarkStart w:id="51" w:name="_GoBack"/>
      <w:bookmarkEnd w:id="51"/>
      <w:r>
        <w:rPr>
          <w:rFonts w:hint="eastAsia"/>
          <w:lang w:val="en-US" w:eastAsia="zh-CN"/>
        </w:rPr>
        <w:t>监控运维平台</w:t>
      </w:r>
      <w:r>
        <w:rPr>
          <w:rFonts w:hint="default"/>
          <w:lang w:val="en-US" w:eastAsia="zh-CN"/>
        </w:rPr>
        <w:t>，由研发部进行部署，根据公司运维业务情况自定义管理流程，由各部门共同使用，负责维护。</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2" w:name="_Toc80"/>
      <w:bookmarkStart w:id="53" w:name="_Toc19943"/>
      <w:r>
        <w:rPr>
          <w:rFonts w:hint="default"/>
          <w:lang w:val="en-US" w:eastAsia="zh-CN"/>
        </w:rPr>
        <w:t>服务台管理</w:t>
      </w:r>
      <w:bookmarkEnd w:id="52"/>
      <w:bookmarkEnd w:id="5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服务台设立在运维部，客户可以通过服务台上报故障或提出服务请求，配有专业的服务台专员对客户投诉及反馈的问题和事件进行统一受理，服务台按照《服务台管理制度》执行。</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4" w:name="_Toc15469"/>
      <w:bookmarkStart w:id="55" w:name="_Toc6877"/>
      <w:r>
        <w:rPr>
          <w:rFonts w:hint="default"/>
          <w:lang w:val="en-US" w:eastAsia="zh-CN"/>
        </w:rPr>
        <w:t>备件库管理</w:t>
      </w:r>
      <w:bookmarkEnd w:id="54"/>
      <w:bookmarkEnd w:id="55"/>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设立在运维部，负责硬件备件、应急物资的规范化管理。备件库根据运维服务目录和合同要求，制定备件储备规划，定期评估库存状况，低于安全库存时向采购部提出采购需求。备件库按照《备件库管理制度》进行管理和维护。</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6" w:name="_Toc12197"/>
      <w:r>
        <w:rPr>
          <w:rFonts w:hint="eastAsia"/>
          <w:lang w:val="en-US" w:eastAsia="zh-CN"/>
        </w:rPr>
        <w:t>最终</w:t>
      </w:r>
      <w:r>
        <w:rPr>
          <w:rFonts w:hint="default"/>
          <w:lang w:val="en-US" w:eastAsia="zh-CN"/>
        </w:rPr>
        <w:t>软件库管理</w:t>
      </w:r>
      <w:bookmarkEnd w:id="5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eastAsia="宋体" w:hint="eastAsia"/>
          <w:lang w:val="en-US" w:eastAsia="zh-CN"/>
        </w:rPr>
      </w:pPr>
      <w:r>
        <w:rPr>
          <w:rFonts w:ascii="Segoe UI" w:eastAsia="Segoe UI" w:hAnsi="Segoe UI" w:cs="Segoe UI"/>
          <w:i w:val="0"/>
          <w:iCs w:val="0"/>
          <w:caps w:val="0"/>
          <w:color w:val="0F1115"/>
          <w:spacing w:val="0"/>
          <w:sz w:val="24"/>
          <w:szCs w:val="24"/>
          <w:shd w:val="clear" w:color="auto" w:fill="FFFFFF"/>
        </w:rPr>
        <w:t>研发部负责建立和维护软件库，统一管理操作系统镜像、中间件、数据库、自研工具、脚本、配置文件及授权文件等数字资源。软件入库需经审核，使用优先从软件库获取。每半年进行一次审计，清理过期或存在安全隐患的软件</w:t>
      </w:r>
      <w:r>
        <w:rPr>
          <w:rFonts w:ascii="Segoe UI" w:eastAsia="宋体" w:hAnsi="Segoe UI" w:cs="Segoe UI" w:hint="eastAsia"/>
          <w:i w:val="0"/>
          <w:iCs w:val="0"/>
          <w:caps w:val="0"/>
          <w:color w:val="0F1115"/>
          <w:spacing w:val="0"/>
          <w:sz w:val="24"/>
          <w:szCs w:val="24"/>
          <w:shd w:val="clear" w:color="auto" w:fill="FFFFFF"/>
          <w:lang w:eastAsia="zh-CN"/>
        </w:rPr>
        <w:t>。</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7" w:name="_Toc27843"/>
      <w:r>
        <w:rPr>
          <w:rFonts w:hint="default"/>
          <w:lang w:val="en-US" w:eastAsia="zh-CN"/>
        </w:rPr>
        <w:t>服务数据管理</w:t>
      </w:r>
      <w:bookmarkEnd w:id="5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ascii="Segoe UI" w:eastAsia="Segoe UI" w:hAnsi="Segoe UI" w:cs="Segoe UI"/>
          <w:i w:val="0"/>
          <w:iCs w:val="0"/>
          <w:caps w:val="0"/>
          <w:color w:val="0F1115"/>
          <w:spacing w:val="0"/>
          <w:sz w:val="24"/>
          <w:szCs w:val="24"/>
          <w:shd w:val="clear" w:color="auto" w:fill="FFFFFF"/>
        </w:rPr>
        <w:t>运维部</w:t>
      </w:r>
      <w:r>
        <w:rPr>
          <w:rFonts w:ascii="Segoe UI" w:eastAsia="宋体" w:hAnsi="Segoe UI" w:cs="Segoe UI" w:hint="eastAsia"/>
          <w:i w:val="0"/>
          <w:iCs w:val="0"/>
          <w:caps w:val="0"/>
          <w:color w:val="0F1115"/>
          <w:spacing w:val="0"/>
          <w:sz w:val="24"/>
          <w:szCs w:val="24"/>
          <w:shd w:val="clear" w:color="auto" w:fill="FFFFFF"/>
          <w:lang w:val="en-US" w:eastAsia="zh-CN"/>
        </w:rPr>
        <w:t>负责</w:t>
      </w:r>
      <w:r>
        <w:rPr>
          <w:rFonts w:ascii="Segoe UI" w:eastAsia="Segoe UI" w:hAnsi="Segoe UI" w:cs="Segoe UI"/>
          <w:i w:val="0"/>
          <w:iCs w:val="0"/>
          <w:caps w:val="0"/>
          <w:color w:val="0F1115"/>
          <w:spacing w:val="0"/>
          <w:sz w:val="24"/>
          <w:szCs w:val="24"/>
          <w:shd w:val="clear" w:color="auto" w:fill="FFFFFF"/>
        </w:rPr>
        <w:t>管理服务数据，包括CMDB配置项、事件记录、监控数据、日志、服务台记录等。数据应保证准确、完整、及时、一致。产品质量部</w:t>
      </w:r>
      <w:r>
        <w:rPr>
          <w:rFonts w:ascii="Segoe UI" w:eastAsia="宋体" w:hAnsi="Segoe UI" w:cs="Segoe UI" w:hint="eastAsia"/>
          <w:i w:val="0"/>
          <w:iCs w:val="0"/>
          <w:caps w:val="0"/>
          <w:color w:val="0F1115"/>
          <w:spacing w:val="0"/>
          <w:sz w:val="24"/>
          <w:szCs w:val="24"/>
          <w:shd w:val="clear" w:color="auto" w:fill="FFFFFF"/>
          <w:lang w:val="en-US" w:eastAsia="zh-CN"/>
        </w:rPr>
        <w:t>定期</w:t>
      </w:r>
      <w:r>
        <w:rPr>
          <w:rFonts w:ascii="Segoe UI" w:eastAsia="Segoe UI" w:hAnsi="Segoe UI" w:cs="Segoe UI"/>
          <w:i w:val="0"/>
          <w:iCs w:val="0"/>
          <w:caps w:val="0"/>
          <w:color w:val="0F1115"/>
          <w:spacing w:val="0"/>
          <w:sz w:val="24"/>
          <w:szCs w:val="24"/>
          <w:shd w:val="clear" w:color="auto" w:fill="FFFFFF"/>
        </w:rPr>
        <w:t>抽查数据质量，发现问题纳入过程改进。</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8" w:name="_Toc1836"/>
      <w:bookmarkStart w:id="59" w:name="_Toc14264"/>
      <w:r>
        <w:rPr>
          <w:rFonts w:hint="default"/>
          <w:lang w:val="en-US" w:eastAsia="zh-CN"/>
        </w:rPr>
        <w:t>技术管理</w:t>
      </w:r>
      <w:bookmarkEnd w:id="58"/>
      <w:bookmarkEnd w:id="59"/>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技术能力是运维服务核心要素之一，由研发部负责统筹管理，运维部、</w:t>
      </w:r>
      <w:r>
        <w:rPr>
          <w:rFonts w:hint="eastAsia"/>
          <w:lang w:val="en-US" w:eastAsia="zh-CN"/>
        </w:rPr>
        <w:t>服务知识</w:t>
      </w:r>
      <w:r>
        <w:rPr>
          <w:rFonts w:hint="default"/>
          <w:lang w:val="en-US" w:eastAsia="zh-CN"/>
        </w:rPr>
        <w:t>等协同配合，共同构建公司的运维技术体系。</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0" w:name="_Toc15833"/>
      <w:bookmarkStart w:id="61" w:name="_Toc12763"/>
      <w:r>
        <w:rPr>
          <w:rFonts w:hint="default"/>
          <w:lang w:val="en-US" w:eastAsia="zh-CN"/>
        </w:rPr>
        <w:t>运维工具研发</w:t>
      </w:r>
      <w:bookmarkEnd w:id="60"/>
      <w:bookmarkEnd w:id="6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运维工具是提升运维服务效率和质量的重要手段，研发部负责运维工具的规划、研发和持续优化。</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工具研发规划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w:t>
      </w:r>
      <w:r>
        <w:rPr>
          <w:rFonts w:hint="eastAsia"/>
          <w:lang w:val="en-US" w:eastAsia="zh-CN"/>
        </w:rPr>
        <w:t>每年年初</w:t>
      </w:r>
      <w:r>
        <w:rPr>
          <w:rFonts w:hint="default"/>
          <w:lang w:val="en-US" w:eastAsia="zh-CN"/>
        </w:rPr>
        <w:t>根据运维业务发展需求，制定《运维工具研发规划》，明确本年度工具研发的目标、方向和重点。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工具研发规划应纳入年度运维服务能力管理计划，经管理层审批后执行。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工具研发规划应考虑以下方面：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自动化运维工具（如自动部署、自动巡检、自动备份等）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监控告警工具（如系统监控、网络监控、业务监控等）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运维管理工具（如服务台系统、配置管理数据库、</w:t>
      </w:r>
      <w:r>
        <w:rPr>
          <w:rFonts w:hint="eastAsia"/>
          <w:lang w:val="en-US" w:eastAsia="zh-CN"/>
        </w:rPr>
        <w:t>服务知识</w:t>
      </w:r>
      <w:r>
        <w:rPr>
          <w:rFonts w:hint="default"/>
          <w:lang w:val="en-US" w:eastAsia="zh-CN"/>
        </w:rPr>
        <w:t>系统等）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诊断分析工具（如日志分析、性能分析、故障诊断等）</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工具研发执行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研发部负责组织研发团队按计划推进工具研发工作，确保按时保质完成。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研发过程中应遵循公司软件开发规范，包括需求分析、设计、编码、测试、发布等环节。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工具研发完成后，应组织试点验证，确保工具的稳定性和适用性。</w:t>
      </w:r>
    </w:p>
    <w:p>
      <w:pPr>
        <w:pStyle w:val="a1"/>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工具研发成果评估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工具上线使用后，研发部应定期收集使用反馈，评估工具的实际效果。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根据评估结果，持续优化工具功能和性能。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将优秀的工具研发成果纳入公司技术资产库，形成技术积累。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2" w:name="_Toc22660"/>
      <w:bookmarkStart w:id="63" w:name="_Toc19614"/>
      <w:r>
        <w:rPr>
          <w:rFonts w:hint="default"/>
          <w:lang w:val="en-US" w:eastAsia="zh-CN"/>
        </w:rPr>
        <w:t>运维手册研发</w:t>
      </w:r>
      <w:bookmarkEnd w:id="62"/>
      <w:bookmarkEnd w:id="63"/>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运维手册是指导运维人员规范操作、快速解决问题的重要技术资料，由研发部牵头，运维部、</w:t>
      </w:r>
      <w:r>
        <w:rPr>
          <w:rFonts w:hint="eastAsia"/>
          <w:lang w:val="en-US" w:eastAsia="zh-CN"/>
        </w:rPr>
        <w:t>服务知识</w:t>
      </w:r>
      <w:r>
        <w:rPr>
          <w:rFonts w:hint="default"/>
          <w:lang w:val="en-US" w:eastAsia="zh-CN"/>
        </w:rPr>
        <w:t>共同参与研发和维护。</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手册类型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公司建立分层级的运维手册体系，</w:t>
      </w:r>
      <w:r>
        <w:rPr>
          <w:rFonts w:hint="eastAsia"/>
          <w:lang w:val="en-US" w:eastAsia="zh-CN"/>
        </w:rPr>
        <w:t>如表5-1所示</w:t>
      </w:r>
      <w:r>
        <w:rPr>
          <w:rFonts w:hint="default"/>
          <w:lang w:val="en-US" w:eastAsia="zh-CN"/>
        </w:rPr>
        <w:t>包括：</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5</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64" w:name="_Toc17330"/>
      <w:r>
        <w:rPr>
          <w:rFonts w:hint="eastAsia"/>
          <w:lang w:val="en-US" w:eastAsia="zh-CN"/>
        </w:rPr>
        <w:t xml:space="preserve"> 运维手册类型表</w:t>
      </w:r>
      <w:bookmarkEnd w:id="64"/>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596"/>
        <w:gridCol w:w="4947"/>
        <w:gridCol w:w="1979"/>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0"/>
          <w:tblHeader/>
          <w:jc w:val="center"/>
        </w:trPr>
        <w:tc>
          <w:tcPr>
            <w:tcW w:w="1596" w:type="dxa"/>
            <w:tcBorders>
              <w:top w:val="single" w:sz="12"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手册类型</w:t>
            </w:r>
          </w:p>
        </w:tc>
        <w:tc>
          <w:tcPr>
            <w:tcW w:w="4947" w:type="dxa"/>
            <w:tcBorders>
              <w:top w:val="single" w:sz="12"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内容说明</w:t>
            </w:r>
          </w:p>
        </w:tc>
        <w:tc>
          <w:tcPr>
            <w:tcW w:w="1979" w:type="dxa"/>
            <w:tcBorders>
              <w:top w:val="single" w:sz="12" w:space="0" w:color="auto"/>
              <w:left w:val="single" w:sz="4" w:space="0" w:color="auto"/>
              <w:bottom w:val="nil"/>
              <w:right w:val="single" w:sz="12" w:space="0" w:color="auto"/>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b/>
                <w:i w:val="0"/>
                <w:iCs w:val="0"/>
                <w:caps w:val="0"/>
                <w:color w:val="0F1115"/>
                <w:spacing w:val="0"/>
                <w:sz w:val="22"/>
                <w:szCs w:val="22"/>
              </w:rPr>
            </w:pPr>
            <w:r>
              <w:rPr>
                <w:rFonts w:ascii="Segoe UI" w:eastAsia="Segoe UI" w:hAnsi="Segoe UI" w:cs="Segoe UI" w:hint="default"/>
                <w:b/>
                <w:i w:val="0"/>
                <w:iCs w:val="0"/>
                <w:caps w:val="0"/>
                <w:snapToGrid w:val="0"/>
                <w:color w:val="000000"/>
                <w:spacing w:val="0"/>
                <w:kern w:val="0"/>
                <w:sz w:val="22"/>
                <w:szCs w:val="22"/>
                <w:lang w:val="en-US" w:eastAsia="zh-CN"/>
              </w:rPr>
              <w:t>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运维操作手册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规范日常运维操作流程，如系统启停、备份恢复、日常巡检等</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故障处理手册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常见故障的诊断方法和解决步骤，形成标准化处理流程</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w:t>
            </w:r>
            <w:r>
              <w:rPr>
                <w:rFonts w:ascii="Segoe UI" w:eastAsia="Segoe UI" w:hAnsi="Segoe UI" w:cs="Segoe UI" w:hint="eastAsia"/>
                <w:i w:val="0"/>
                <w:iCs w:val="0"/>
                <w:caps w:val="0"/>
                <w:snapToGrid w:val="0"/>
                <w:color w:val="000000"/>
                <w:spacing w:val="0"/>
                <w:kern w:val="0"/>
                <w:sz w:val="22"/>
                <w:szCs w:val="22"/>
                <w:lang w:val="en-US" w:eastAsia="zh-CN"/>
              </w:rPr>
              <w:t>服务知识</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应急预案操作手册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重大故障应急响应的具体操作步骤和注意事项</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应急管理部、研发部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系统部署手册</w:t>
            </w:r>
          </w:p>
        </w:tc>
        <w:tc>
          <w:tcPr>
            <w:tcW w:w="4947"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新系统部署、环境搭建、参数配置等操作指南</w:t>
            </w:r>
          </w:p>
        </w:tc>
        <w:tc>
          <w:tcPr>
            <w:tcW w:w="1979" w:type="dxa"/>
            <w:tcBorders>
              <w:top w:val="single" w:sz="4" w:space="0" w:color="auto"/>
              <w:left w:val="single" w:sz="4" w:space="0" w:color="auto"/>
              <w:bottom w:val="nil"/>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研发部、运维部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596" w:type="dxa"/>
            <w:tcBorders>
              <w:top w:val="single" w:sz="4" w:space="0" w:color="auto"/>
              <w:left w:val="single" w:sz="12" w:space="0" w:color="auto"/>
              <w:bottom w:val="single" w:sz="12"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Style w:val="Strong"/>
                <w:rFonts w:ascii="Segoe UI" w:eastAsia="Segoe UI" w:hAnsi="Segoe UI" w:cs="Segoe UI" w:hint="default"/>
                <w:b/>
                <w:bCs/>
                <w:i w:val="0"/>
                <w:iCs w:val="0"/>
                <w:caps w:val="0"/>
                <w:snapToGrid w:val="0"/>
                <w:color w:val="000000"/>
                <w:spacing w:val="0"/>
                <w:kern w:val="0"/>
                <w:sz w:val="22"/>
                <w:szCs w:val="22"/>
                <w:lang w:val="en-US" w:eastAsia="zh-CN"/>
              </w:rPr>
              <w:t>客户培训手册</w:t>
            </w:r>
          </w:p>
        </w:tc>
        <w:tc>
          <w:tcPr>
            <w:tcW w:w="4947" w:type="dxa"/>
            <w:tcBorders>
              <w:top w:val="single" w:sz="4" w:space="0" w:color="auto"/>
              <w:left w:val="single" w:sz="4" w:space="0" w:color="auto"/>
              <w:bottom w:val="single" w:sz="12"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center"/>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面向客户的系统使用培训资料</w:t>
            </w:r>
          </w:p>
        </w:tc>
        <w:tc>
          <w:tcPr>
            <w:tcW w:w="1979" w:type="dxa"/>
            <w:tcBorders>
              <w:top w:val="single" w:sz="4" w:space="0" w:color="auto"/>
              <w:left w:val="single" w:sz="4" w:space="0" w:color="auto"/>
              <w:bottom w:val="single" w:sz="12" w:space="0" w:color="auto"/>
              <w:right w:val="single" w:sz="12" w:space="0" w:color="auto"/>
            </w:tcBorders>
            <w:shd w:val="clear" w:color="auto" w:fill="auto"/>
            <w:tcMar>
              <w:top w:w="150" w:type="dxa"/>
              <w:left w:w="240" w:type="dxa"/>
              <w:bottom w:w="150" w:type="dxa"/>
              <w:right w:w="-1" w:type="dxa"/>
            </w:tcMar>
            <w:vAlign w:val="center"/>
          </w:tcPr>
          <w:p>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right="0" w:firstLine="0" w:leftChars="0" w:rightChars="0" w:firstLineChars="0"/>
              <w:jc w:val="left"/>
              <w:textAlignment w:val="baseline"/>
              <w:rPr>
                <w:rFonts w:ascii="Segoe UI" w:eastAsia="Segoe UI" w:hAnsi="Segoe UI" w:cs="Segoe UI" w:hint="default"/>
                <w:i w:val="0"/>
                <w:iCs w:val="0"/>
                <w:caps w:val="0"/>
                <w:color w:val="0F1115"/>
                <w:spacing w:val="0"/>
                <w:sz w:val="22"/>
                <w:szCs w:val="22"/>
              </w:rPr>
            </w:pPr>
            <w:r>
              <w:rPr>
                <w:rFonts w:ascii="Segoe UI" w:eastAsia="Segoe UI" w:hAnsi="Segoe UI" w:cs="Segoe UI" w:hint="default"/>
                <w:i w:val="0"/>
                <w:iCs w:val="0"/>
                <w:caps w:val="0"/>
                <w:snapToGrid w:val="0"/>
                <w:color w:val="000000"/>
                <w:spacing w:val="0"/>
                <w:kern w:val="0"/>
                <w:sz w:val="22"/>
                <w:szCs w:val="22"/>
                <w:lang w:val="en-US" w:eastAsia="zh-CN"/>
              </w:rPr>
              <w:t>运维部</w:t>
            </w:r>
          </w:p>
        </w:tc>
      </w:tr>
    </w:tbl>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手册研发流程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需求收集：研发部收集运维部、服务台在日常工作中对手册的需求，确定手册研发的优先级。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内容编写：研发部组织相关人员编写手册内容，确保内容准确、步骤清晰、易于理解。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评审验证：组织相关部门对手册进行评审，验证手册的可行性和准确性。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发布培训：手册发布后，组织相关人员进行培训，确保手册被正确理解和应用。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持续更新：根据实际使用反馈和技术变化，定期对手册进行更新维护。</w:t>
      </w:r>
    </w:p>
    <w:p>
      <w:pPr>
        <w:pStyle w:val="a1"/>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eastAsia"/>
          <w:lang w:val="en-US" w:eastAsia="zh-CN"/>
        </w:rPr>
        <w:t>服务知识</w:t>
      </w:r>
      <w:r>
        <w:rPr>
          <w:rFonts w:hint="default"/>
          <w:lang w:val="en-US" w:eastAsia="zh-CN"/>
        </w:rPr>
        <w:t>对接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所有运维手册应纳入</w:t>
      </w:r>
      <w:r>
        <w:rPr>
          <w:rFonts w:hint="eastAsia"/>
          <w:lang w:val="en-US" w:eastAsia="zh-CN"/>
        </w:rPr>
        <w:t>服务知识</w:t>
      </w:r>
      <w:r>
        <w:rPr>
          <w:rFonts w:hint="default"/>
          <w:lang w:val="en-US" w:eastAsia="zh-CN"/>
        </w:rPr>
        <w:t>管理，通过</w:t>
      </w:r>
      <w:r>
        <w:rPr>
          <w:rFonts w:hint="eastAsia"/>
          <w:lang w:val="en-US" w:eastAsia="zh-CN"/>
        </w:rPr>
        <w:t>itop</w:t>
      </w:r>
      <w:r>
        <w:rPr>
          <w:rFonts w:hint="default"/>
          <w:lang w:val="en-US" w:eastAsia="zh-CN"/>
        </w:rPr>
        <w:t>进行发布和共享。</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服务知识专员</w:t>
      </w:r>
      <w:r>
        <w:rPr>
          <w:rFonts w:hint="default"/>
          <w:lang w:val="en-US" w:eastAsia="zh-CN"/>
        </w:rPr>
        <w:t>负责将一线实践经验补充到手册中，形成知识闭环。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研发部负责手册的版本管理和权限控制。</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5" w:name="_Toc541"/>
      <w:bookmarkStart w:id="66" w:name="_Toc21054"/>
      <w:r>
        <w:rPr>
          <w:rFonts w:hint="default"/>
          <w:lang w:val="en-US" w:eastAsia="zh-CN"/>
        </w:rPr>
        <w:t>新技术研发</w:t>
      </w:r>
      <w:bookmarkEnd w:id="65"/>
      <w:bookmarkEnd w:id="6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新技术研发是保持公司技术领先性和服务竞争力的重要手段，研发部负责跟踪、研究、引入和应用新技术。</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技术跟踪与调研</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研发部负责跟踪行业技术发展趋势，关注新兴技术（如人工智能运维、自动化运维、容器化、云原生等）的发展动态。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定期组织技术调研，分析新技术在运维领域的应用前景和价值。</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形成《技术调研报告》，为技术决策提供依据。</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新技术引入评估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对新技术进行可行性评估，包括技术成熟度、与现有系统的兼容性、实施成本、预期收益等。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组织技术验证（PoC），验证新技术在实际环境中的效果。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形成《新技术引入评估报告》，提交管理层决策。</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新技术应用试点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对于评估通过的新技术，选择合适场景进行试点应用。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跟踪试点效果，收集使用反馈，评估技术应用价值。</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试点成功后，制定推广计划，逐步扩大应用范围。</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技术创新与攻关</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针对运维服务中的技术难题和痛点，组织技术攻关团队进行专项研究。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鼓励技术创新，对优秀的技术创新成果给予激励。</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将技术创新成果转化为专利、软件著作权等知识产权。</w:t>
      </w:r>
    </w:p>
    <w:p>
      <w:pPr>
        <w:pStyle w:val="a1"/>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技术成果转化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将新技术研发成果转化为实际运维能力，包括工具、手册、流程优化等。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组织技术分享会，推广新技术应用经验。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将成熟的技术成果纳入公司技术资产库，形成持续的技术积累。</w:t>
      </w:r>
    </w:p>
    <w:p>
      <w:pPr>
        <w:pStyle w:val="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7" w:name="_Toc11094"/>
      <w:bookmarkStart w:id="68" w:name="_Toc14193"/>
      <w:r>
        <w:rPr>
          <w:rFonts w:hint="default"/>
          <w:lang w:val="en-US" w:eastAsia="zh-CN"/>
        </w:rPr>
        <w:t>运维工具应用情况</w:t>
      </w:r>
      <w:bookmarkEnd w:id="67"/>
      <w:bookmarkEnd w:id="6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运维工具的应用情况是评估技术能力落地效果的重要依据，研发部负责工具应用的跟踪、评估和优化。</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工具部署与推广</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研发部负责运维工具的部署、配置和初始设置，确保工具正常运行。</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组织工具使用培训，帮助运维人员掌握工具的使用方法。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制定工具推广计划，推动工具在相关团队的广泛应用。</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工具使用情况跟踪</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建立工具使用情况跟踪机制，定期收集工具使用数据，包括：</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工具使用频率和覆盖率</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工具解决的实际问题数量</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用户对工具的满意度评价</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工具运行稳定性和性能表现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形成《运维工具应用情况报告》，每季度向管理层汇报。</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工具效果评估</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从以下维度评估工具的应用效果：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效率提升：工具使用后，运维工作效率的提升情况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质量改善：工具使用后，运维质量的改善情况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成本降低：工具使用后，人力成本、时间成本的降低情况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问题减少：工具使用后，同类问题的发生频率变化</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根据评估结果，识别工具的优势和不足，提出改进建议。</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工具优化迭代</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收集用户对工具的改进建议，纳入工具优化计划。</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研发部负责工具的持续优化和迭代升级，确保工具始终满足业务需求。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对于使用率低或效果不佳的工具，组织专题分析，决定是优化还是淘汰。</w:t>
      </w:r>
    </w:p>
    <w:p>
      <w:pPr>
        <w:pStyle w:val="a1"/>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工具使用经验沉淀</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鼓励运维人员总结工具使用经验和技巧，形成《工具使用最佳实践》。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将优秀的工具使用案例纳入</w:t>
      </w:r>
      <w:r>
        <w:rPr>
          <w:rFonts w:hint="eastAsia"/>
          <w:lang w:val="en-US" w:eastAsia="zh-CN"/>
        </w:rPr>
        <w:t>服务知识</w:t>
      </w:r>
      <w:r>
        <w:rPr>
          <w:rFonts w:hint="default"/>
          <w:lang w:val="en-US" w:eastAsia="zh-CN"/>
        </w:rPr>
        <w:t>，供团队学习参考。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定期组织工具使用经验分享会，促进团队能力提升。</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9" w:name="_Toc24335"/>
      <w:bookmarkStart w:id="70" w:name="_Toc25672"/>
      <w:r>
        <w:rPr>
          <w:rFonts w:hint="default"/>
          <w:lang w:val="en-US" w:eastAsia="zh-CN"/>
        </w:rPr>
        <w:t>过程管理</w:t>
      </w:r>
      <w:bookmarkEnd w:id="69"/>
      <w:bookmarkEnd w:id="70"/>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ascii="Consolas" w:eastAsia="宋体" w:hAnsi="Consolas" w:cs="Consolas" w:hint="eastAsia"/>
          <w:caps w:val="0"/>
          <w:color w:val="0F1115"/>
          <w:spacing w:val="0"/>
          <w:szCs w:val="19"/>
          <w:lang w:eastAsia="zh-CN"/>
        </w:rPr>
      </w:pPr>
      <w:r>
        <w:rPr>
          <w:rFonts w:hint="default"/>
        </w:rPr>
        <w:t>过程管理与其他能力域紧密关联：人员能力通过过程规范执行，资源能力通过过程调配使用，技术能力通过过程落地应用，交付能力通过过程保障质量，应急能力通过过程快速响应。过程管理为其他能力域的有效运行提供规范化保障</w:t>
      </w:r>
      <w:r>
        <w:rPr>
          <w:rFonts w:hint="eastAsia"/>
          <w:lang w:eastAsia="zh-CN"/>
        </w:rPr>
        <w:t>。</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w:t>
      </w:r>
      <w:r>
        <w:rPr>
          <w:rFonts w:hint="eastAsia"/>
          <w:lang w:val="en-US" w:eastAsia="zh-CN"/>
        </w:rPr>
        <w:t>十一</w:t>
      </w:r>
      <w:r>
        <w:rPr>
          <w:rFonts w:hint="default"/>
          <w:lang w:val="en-US" w:eastAsia="zh-CN"/>
        </w:rPr>
        <w:t>个运维服务过程管理制度，包括：</w:t>
      </w:r>
      <w:r>
        <w:rPr>
          <w:rFonts w:hint="eastAsia"/>
          <w:lang w:val="en-US" w:eastAsia="zh-CN"/>
        </w:rPr>
        <w:t>过程框架管理程序、</w:t>
      </w:r>
      <w:r>
        <w:rPr>
          <w:rFonts w:hint="default"/>
          <w:lang w:val="en-US" w:eastAsia="zh-CN"/>
        </w:rPr>
        <w:t>服务级别管理程序、服务报告管理程序、事件管理程序、问题管理程序、配置管理程序、变更管理程序、发布管理程序、</w:t>
      </w:r>
      <w:r>
        <w:rPr>
          <w:rFonts w:hint="eastAsia"/>
          <w:lang w:val="en-US" w:eastAsia="zh-CN"/>
        </w:rPr>
        <w:t>服务可用性和连续性管理程序、容量管理程序和</w:t>
      </w:r>
      <w:r>
        <w:rPr>
          <w:rFonts w:hint="default"/>
          <w:lang w:val="en-US" w:eastAsia="zh-CN"/>
        </w:rPr>
        <w:t>信息安全管理程序。每年度按需进行服务流程梳理，更新相关管理程序文件。</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对过程流程的日常性检查由产品质量部</w:t>
      </w:r>
      <w:r>
        <w:rPr>
          <w:rFonts w:hint="eastAsia"/>
          <w:lang w:val="en-US" w:eastAsia="zh-CN"/>
        </w:rPr>
        <w:t>产品质量部专员</w:t>
      </w:r>
      <w:r>
        <w:rPr>
          <w:rFonts w:hint="default"/>
          <w:lang w:val="en-US" w:eastAsia="zh-CN"/>
        </w:rPr>
        <w:t>检查；年度体系的内审及管评由产品质量部经理组织完成。</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过程改进的方式，通过组织级检查、项目级质量检查、服务交付质量检查、内审和管评、客户回访和满意度调查、其它客户渠道的客户沟通发现改进机会，由产品质量部的</w:t>
      </w:r>
      <w:r>
        <w:rPr>
          <w:rFonts w:hint="eastAsia"/>
          <w:lang w:val="en-US" w:eastAsia="zh-CN"/>
        </w:rPr>
        <w:t>产品质量部专员</w:t>
      </w:r>
      <w:r>
        <w:rPr>
          <w:rFonts w:hint="default"/>
          <w:lang w:val="en-US" w:eastAsia="zh-CN"/>
        </w:rPr>
        <w:t>负责监督各部门的改进工作，并对改进工作进行持续追踪和验证。</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71" w:name="_Toc20498"/>
      <w:bookmarkStart w:id="72" w:name="_Toc3515"/>
      <w:r>
        <w:rPr>
          <w:rFonts w:hint="eastAsia"/>
          <w:lang w:val="en-US" w:eastAsia="zh-CN"/>
        </w:rPr>
        <w:t>交付能力管理</w:t>
      </w:r>
      <w:bookmarkEnd w:id="71"/>
      <w:bookmarkEnd w:id="72"/>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交付规划能力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运维部负责建立标准化的交付流程，包括交付启动、交付计划、交付执行、交付验收等阶段。</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根据合同要求和服务目录，制定详细的交付计划，明确交付范围、里程碑、资源需求和时间节点。</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交付计划应纳入年度运维服务能力管理计划中进行统筹管理。</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交付资源协调能力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运维部负责协调内部资源（研发部、现场工程师、备件库等）按计划推进交付工作。</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对于跨部门协同的交付项目，运维部应建立沟通协调机制，确保资源到位、信息畅通。</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交付过程中遇到的资源瓶颈，及时向上级汇报并协调解决。</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交付质量控制能力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运维部负责组织交付前的内部验收，确保交付成果（系统部署、硬件调试、培训服务等）符合客户要求和公司质量标准。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建立交付成果文档标准，包括《交付确认单》《培训记录》《硬件调试报告》《系统部署记录》等。</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产品质量部参与重要交付项目的质量检查，对交付成果进行抽样验证。</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交付风险管理能力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运维部负责识别交付过程中的潜在风险（如资源不足、技术难点、客户配合度等），提前制定应对措施。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建立交付问题升级机制，对交付过程中出现的问题，及时协调资源解决，重大问题上报管理层。</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交付完成后进行复盘总结，将经验教训纳入服务知识。</w:t>
      </w:r>
    </w:p>
    <w:p>
      <w:pPr>
        <w:pStyle w:val="a1"/>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hanging="425" w:leftChars="0" w:firstLineChars="0"/>
        <w:textAlignment w:val="baseline"/>
        <w:rPr>
          <w:rFonts w:hint="eastAsia"/>
          <w:lang w:val="en-US" w:eastAsia="zh-CN"/>
        </w:rPr>
      </w:pPr>
      <w:r>
        <w:rPr>
          <w:rFonts w:hint="eastAsia"/>
          <w:lang w:val="en-US" w:eastAsia="zh-CN"/>
        </w:rPr>
        <w:t>客户沟通能力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运维部作为交付阶段的主要客户接口，保持与客户的良好沟通，及时通报交付进展。</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收集客户在交付过程中的需求和反馈，推动内部改进。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配合产品质量部进行交付后的客户满意度调查。</w:t>
      </w:r>
    </w:p>
    <w:p>
      <w:pPr>
        <w:pStyle w:val="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3" w:name="_Toc15598"/>
      <w:bookmarkStart w:id="74" w:name="_Toc32300"/>
      <w:r>
        <w:rPr>
          <w:rFonts w:hint="eastAsia"/>
          <w:lang w:val="en-US" w:eastAsia="zh-CN"/>
        </w:rPr>
        <w:t>应急能力管理</w:t>
      </w:r>
      <w:bookmarkEnd w:id="73"/>
      <w:bookmarkEnd w:id="74"/>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应急预案管理能力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应急管理部负责制定、评审和更新公司级运维应急预案，包括：系统故障、网络中断、机房断电、数据丢失、安全攻击等场景。</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确保应急预案与客户业务需求、服务水平目标（SLA）相匹配。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定期组织应急预案的评审和修订，保持预案的适用性和有效性。</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应急组织与演练能力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应急管理部负责组建应急响应小组，明确小组成员及职责分工。</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制定年度应急演练计划，组织至少每半年一次的应急演练，包括桌面推演和实战演练。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演练结束后组织复盘总结，分析问题，提出改进措施，并跟踪整改落实。</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应急响应与处置能力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应急管理部负责重大突发事件时的应急指挥调度，统筹协调各部门（运维部、研发部、服务台等）协同处置。</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运维部作为应急响应的执行主体，接到应急指令后立即组织技术人员赶赴现场或启动远程支持。</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执行应急恢复操作，包括系统重启、切换备份、隔离故障、硬件更换等，确保服务快速恢复。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在应急处置过程中，保持信息传递及时、决策高效、行动有序。</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灾备与业务连续性能力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应急管理部负责运维服务相关的灾备体系建设与管理（数据备份、系统冗余、容灾切换）。</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定期组织灾备切换演练，验证灾备系统的可用性和有效性。</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评估业务连续性风险，提出改进建议，保障关键业务在灾难情况下的持续运行。</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应急复盘与改进能力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重大应急事件处理后，应急管理部组织复盘分析，查找根本原因，形成《应急事件复盘报告》。</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推动相关部门（运维部、研发部、产品质量部）落实改进措施。</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将应急事件处理过程中的经验教训纳入</w:t>
      </w:r>
      <w:r>
        <w:rPr>
          <w:rFonts w:hint="eastAsia"/>
          <w:lang w:val="en-US" w:eastAsia="zh-CN"/>
        </w:rPr>
        <w:t>服务知识</w:t>
      </w:r>
      <w:r>
        <w:rPr>
          <w:rFonts w:hint="default"/>
          <w:lang w:val="en-US" w:eastAsia="zh-CN"/>
        </w:rPr>
        <w:t>，作为培训和演练的案例素材。</w:t>
      </w:r>
    </w:p>
    <w:p>
      <w:pPr>
        <w:pStyle w:val="a1"/>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应急物资保障能力</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应急管理部负责应急物资（备用设备、应急工具等）的储备、检查和维护，确保应急资源随时可用。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与运维部备件库协同，建立应急资源调用机制，确保突发事件时能够快速调拨。</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备件库在应急情况下，配合应急管理部快速调拨备件，支持现场抢修。</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5" w:name="_Toc12395"/>
      <w:bookmarkStart w:id="76" w:name="_Toc18780"/>
      <w:r>
        <w:rPr>
          <w:rFonts w:hint="default"/>
          <w:lang w:val="en-US" w:eastAsia="zh-CN"/>
        </w:rPr>
        <w:t>过程质量控制</w:t>
      </w:r>
      <w:bookmarkEnd w:id="75"/>
      <w:bookmarkEnd w:id="76"/>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过程控制流程图，如图6-1所示。</w:t>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图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图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7" w:name="_Toc18864"/>
      <w:bookmarkStart w:id="78" w:name="_Toc15689"/>
      <w:r>
        <w:rPr>
          <w:rFonts w:hint="eastAsia"/>
          <w:lang w:val="en-US" w:eastAsia="zh-CN"/>
        </w:rPr>
        <w:t xml:space="preserve"> 质量控制流程图</w:t>
      </w:r>
      <w:bookmarkEnd w:id="77"/>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pPr>
      <w:r>
        <w:drawing>
          <wp:inline distT="0" distB="0" distL="114300" distR="114300">
            <wp:extent cx="4805045" cy="1113790"/>
            <wp:effectExtent l="0" t="0" r="10795" b="1397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xmlns:r="http://schemas.openxmlformats.org/officeDocument/2006/relationships" r:embed="rId5"/>
                    <a:stretch>
                      <a:fillRect/>
                    </a:stretch>
                  </pic:blipFill>
                  <pic:spPr>
                    <a:xfrm>
                      <a:off x="0" y="0"/>
                      <a:ext cx="4805045" cy="1113790"/>
                    </a:xfrm>
                    <a:prstGeom prst="rect">
                      <a:avLst/>
                    </a:prstGeom>
                    <a:noFill/>
                    <a:ln>
                      <a:noFill/>
                    </a:ln>
                  </pic:spPr>
                </pic:pic>
              </a:graphicData>
            </a:graphic>
          </wp:inline>
        </w:drawing>
      </w:r>
      <w:bookmarkEnd w:id="78"/>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过程质量控制控制流程说明，如表6-1所示。</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pPr>
        <w:pStyle w:val="a1"/>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"柴_标题1"\n</w:instrText>
      </w:r>
      <w:r>
        <w:instrText xml:space="preserve"> \s</w:instrText>
      </w:r>
      <w:r>
        <w:rPr>
          <w:rFonts w:hint="default"/>
          <w:lang w:val="en-US" w:eastAsia="zh-CN"/>
        </w:rPr>
        <w:instrText xml:space="preserve"> </w:instrText>
      </w:r>
      <w:r>
        <w:rPr>
          <w:rFonts w:hint="eastAsia"/>
          <w:lang w:val="en-US" w:eastAsia="zh-CN"/>
        </w:rPr>
        <w:instrText>* Charformat</w:instrText>
      </w:r>
      <w:r>
        <w:rPr>
          <w:rFonts w:hint="default"/>
          <w:lang w:val="en-US" w:eastAsia="zh-CN"/>
        </w:rPr>
        <w:fldChar w:fldCharType="separate"/>
      </w:r>
      <w:r>
        <w:rPr>
          <w:rFonts w:hint="default"/>
          <w:lang w:val="en-US" w:eastAsia="zh-CN"/>
        </w:rPr>
        <w:t>6</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79" w:name="_Toc6377"/>
      <w:r>
        <w:rPr>
          <w:rFonts w:hint="eastAsia"/>
          <w:lang w:val="en-US" w:eastAsia="zh-CN"/>
        </w:rPr>
        <w:t xml:space="preserve"> 过程质量控制流程说明</w:t>
      </w:r>
      <w:bookmarkEnd w:id="79"/>
    </w:p>
    <w:tbl>
      <w:tblPr>
        <w:tblStyle w:val="TableNormal"/>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
      <w:tblGrid>
        <w:gridCol w:w="1838"/>
        <w:gridCol w:w="1186"/>
        <w:gridCol w:w="3079"/>
        <w:gridCol w:w="1379"/>
        <w:gridCol w:w="1040"/>
      </w:tblGrid>
      <w:tr>
        <w:tblPrEx>
          <w:tblW w:w="8522" w:type="dxa"/>
          <w:jc w:val="center"/>
          <w:tblBorders>
            <w:top w:val="nil"/>
            <w:left w:val="nil"/>
            <w:bottom w:val="nil"/>
            <w:right w:val="nil"/>
            <w:insideH w:val="nil"/>
            <w:insideV w:val="nil"/>
          </w:tblBorders>
          <w:shd w:val="clear" w:color="auto" w:fill="auto"/>
          <w:tblCellMar>
            <w:top w:w="15" w:type="dxa"/>
            <w:left w:w="15" w:type="dxa"/>
            <w:bottom w:w="15" w:type="dxa"/>
            <w:right w:w="15" w:type="dxa"/>
          </w:tblCellMar>
        </w:tblPrEx>
        <w:trPr>
          <w:trHeight w:val="857"/>
          <w:tblHeader/>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b/>
                <w:bCs/>
              </w:rPr>
            </w:pPr>
            <w:r>
              <w:rPr>
                <w:rFonts w:hint="default"/>
                <w:b/>
                <w:bCs/>
                <w:lang w:val="en-US" w:eastAsia="zh-CN"/>
              </w:rPr>
              <w:t>步骤</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b/>
                <w:bCs/>
              </w:rPr>
            </w:pPr>
            <w:r>
              <w:rPr>
                <w:rFonts w:hint="default"/>
                <w:b/>
                <w:bCs/>
                <w:lang w:val="en-US" w:eastAsia="zh-CN"/>
              </w:rPr>
              <w:t>输入</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b/>
                <w:bCs/>
              </w:rPr>
            </w:pPr>
            <w:r>
              <w:rPr>
                <w:rFonts w:hint="default"/>
                <w:b/>
                <w:bCs/>
                <w:lang w:val="en-US" w:eastAsia="zh-CN"/>
              </w:rPr>
              <w:t>步骤描述</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b/>
                <w:bCs/>
              </w:rPr>
            </w:pPr>
            <w:r>
              <w:rPr>
                <w:rFonts w:hint="default"/>
                <w:b/>
                <w:bCs/>
                <w:lang w:val="en-US" w:eastAsia="zh-CN"/>
              </w:rPr>
              <w:t>输出</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spacing w:line="240" w:lineRule="auto"/>
              <w:textAlignment w:val="baseline"/>
              <w:rPr>
                <w:rFonts w:hint="default"/>
                <w:b/>
                <w:bCs/>
              </w:rPr>
            </w:pPr>
            <w:r>
              <w:rPr>
                <w:rFonts w:hint="default"/>
                <w:b/>
                <w:bCs/>
                <w:lang w:val="en-US" w:eastAsia="zh-CN"/>
              </w:rPr>
              <w:t>负责人</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1. 现有过程评估</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KPI报告、服务级别协议中规定的报告、服务改进计划</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对服务级别管理过程中的KPI完成情况进行分析；</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对服务级别履行程度进行差距分析；</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对客户提出的与服务级别管理过程相关的问题、建议和改进计划进行讨论回顾。</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改进项</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产品质量部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2. 制定改进计划</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改进项</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根据回顾结果制定改进计划，计划包括：改进项、需求、改进方案、改进计划周期、时间、特殊要素以及收益、可能造成的影响以及其他外部因素、资源需求、测试和培训计划</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改进计划</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产品质量部、各能力域责任部门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3. 审批改进计划</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改进计划</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对执行改进计划进行评估；</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根据已确认执行的改进计划提交变更请求；</w:t>
            </w:r>
          </w:p>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依据变更管理过程对其进行审批。</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审批后的改进计划、变更请求</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产品质量部、管理层</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nil"/>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4. 执行改进计划</w:t>
            </w:r>
          </w:p>
        </w:tc>
        <w:tc>
          <w:tcPr>
            <w:tcW w:w="1186"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被批准的改进计划和变更请求</w:t>
            </w:r>
          </w:p>
        </w:tc>
        <w:tc>
          <w:tcPr>
            <w:tcW w:w="30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调动资源组织相关人员依据计划执行被批准的改进计划和变更请求。</w:t>
            </w:r>
          </w:p>
        </w:tc>
        <w:tc>
          <w:tcPr>
            <w:tcW w:w="1379" w:type="dxa"/>
            <w:tcBorders>
              <w:top w:val="single" w:sz="4" w:space="0" w:color="auto"/>
              <w:left w:val="single" w:sz="4" w:space="0" w:color="auto"/>
              <w:bottom w:val="nil"/>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实施后的改进计划、改进效果</w:t>
            </w:r>
          </w:p>
        </w:tc>
        <w:tc>
          <w:tcPr>
            <w:tcW w:w="1040" w:type="dxa"/>
            <w:tcBorders>
              <w:top w:val="single" w:sz="4" w:space="0" w:color="auto"/>
              <w:left w:val="single" w:sz="4" w:space="0" w:color="auto"/>
              <w:bottom w:val="nil"/>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各能力域责任部门</w:t>
            </w:r>
          </w:p>
        </w:tc>
      </w:tr>
      <w:tr>
        <w:tblPrEx>
          <w:tblW w:w="8522" w:type="dxa"/>
          <w:jc w:val="center"/>
          <w:shd w:val="clear" w:color="auto" w:fill="auto"/>
          <w:tblCellMar>
            <w:top w:w="15" w:type="dxa"/>
            <w:left w:w="15" w:type="dxa"/>
            <w:bottom w:w="15" w:type="dxa"/>
            <w:right w:w="15" w:type="dxa"/>
          </w:tblCellMar>
        </w:tblPrEx>
        <w:trPr>
          <w:trHeight w:val="0"/>
          <w:jc w:val="center"/>
        </w:trPr>
        <w:tc>
          <w:tcPr>
            <w:tcW w:w="1838" w:type="dxa"/>
            <w:tcBorders>
              <w:top w:val="single" w:sz="4" w:space="0" w:color="auto"/>
              <w:left w:val="single" w:sz="4" w:space="0" w:color="auto"/>
              <w:bottom w:val="single" w:sz="4" w:space="0" w:color="auto"/>
              <w:right w:val="nil"/>
            </w:tcBorders>
            <w:shd w:val="clear" w:color="auto" w:fill="auto"/>
            <w:tcMar>
              <w:top w:w="150" w:type="dxa"/>
              <w:left w:w="-1"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5. 回顾</w:t>
            </w:r>
          </w:p>
        </w:tc>
        <w:tc>
          <w:tcPr>
            <w:tcW w:w="1186" w:type="dxa"/>
            <w:tcBorders>
              <w:top w:val="single" w:sz="4" w:space="0" w:color="auto"/>
              <w:left w:val="single" w:sz="4" w:space="0" w:color="auto"/>
              <w:bottom w:val="single" w:sz="4"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实施后的改进计划、改进结果</w:t>
            </w:r>
          </w:p>
        </w:tc>
        <w:tc>
          <w:tcPr>
            <w:tcW w:w="3079" w:type="dxa"/>
            <w:tcBorders>
              <w:top w:val="single" w:sz="4" w:space="0" w:color="auto"/>
              <w:left w:val="single" w:sz="4" w:space="0" w:color="auto"/>
              <w:bottom w:val="single" w:sz="4"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对改进后的结果进行回顾，评估改进计划是否成功，存在哪些待改进项。依据PDCA方法论再次执行步骤1对现有过程进行评估，对过程进行持续改进，起到对过程质量控制的作用。</w:t>
            </w:r>
          </w:p>
        </w:tc>
        <w:tc>
          <w:tcPr>
            <w:tcW w:w="1379" w:type="dxa"/>
            <w:tcBorders>
              <w:top w:val="single" w:sz="4" w:space="0" w:color="auto"/>
              <w:left w:val="single" w:sz="4" w:space="0" w:color="auto"/>
              <w:bottom w:val="single" w:sz="4" w:space="0" w:color="auto"/>
              <w:right w:val="nil"/>
            </w:tcBorders>
            <w:shd w:val="clear" w:color="auto" w:fill="auto"/>
            <w:tcMar>
              <w:top w:w="150" w:type="dxa"/>
              <w:left w:w="240" w:type="dxa"/>
              <w:bottom w:w="150" w:type="dxa"/>
              <w:right w:w="240"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回顾结果、关闭的变更请求和服务改进计划</w:t>
            </w:r>
          </w:p>
        </w:tc>
        <w:tc>
          <w:tcPr>
            <w:tcW w:w="1040" w:type="dxa"/>
            <w:tcBorders>
              <w:top w:val="single" w:sz="4" w:space="0" w:color="auto"/>
              <w:left w:val="single" w:sz="4" w:space="0" w:color="auto"/>
              <w:bottom w:val="single" w:sz="4" w:space="0" w:color="auto"/>
              <w:right w:val="single" w:sz="4" w:space="0" w:color="auto"/>
            </w:tcBorders>
            <w:shd w:val="clear" w:color="auto" w:fill="auto"/>
            <w:tcMar>
              <w:top w:w="150" w:type="dxa"/>
              <w:left w:w="240" w:type="dxa"/>
              <w:bottom w:w="150" w:type="dxa"/>
              <w:right w:w="-1" w:type="dxa"/>
            </w:tcMar>
            <w:vAlign w:val="center"/>
          </w:tcPr>
          <w:p>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rPr>
            </w:pPr>
            <w:r>
              <w:rPr>
                <w:rFonts w:hint="default"/>
                <w:lang w:val="en-US" w:eastAsia="zh-CN"/>
              </w:rPr>
              <w:t>产品质量部、各能力域责任部门</w:t>
            </w:r>
          </w:p>
        </w:tc>
      </w:tr>
    </w:tbl>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0" w:name="_Toc28966"/>
      <w:bookmarkStart w:id="81" w:name="_Toc13056"/>
      <w:r>
        <w:rPr>
          <w:rFonts w:hint="default"/>
          <w:lang w:val="en-US" w:eastAsia="zh-CN"/>
        </w:rPr>
        <w:t>能力计划遵循的原则</w:t>
      </w:r>
      <w:bookmarkEnd w:id="80"/>
      <w:bookmarkEnd w:id="81"/>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必须遵循政策法规的要求，满足相应的法规和过程、技术标准、行业规范。</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关键业务优先原则，有限的能力要素必须保证关键业务过程的支持和恢复。</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风险管理原则，树立风险无处不在的意识，有效地分析和管理风险。</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面向体系化的管理原则，制定和实施完善的能力管理，并遵从过程进行活动和管理。</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质量管理原则，遵循计划、实施、检查、改进的质量管理周期过程。</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成本合理原则，能力要素总是有限的，尤其对于能力管理，更是要考虑成本和能力的平衡，需求与提供之间的平衡。</w:t>
      </w:r>
    </w:p>
    <w:p>
      <w:pPr>
        <w:pStyle w:val="a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能力管理策划过程中，产品质量部、综合部、研发部、运维部等部门应共同参与。</w:t>
      </w:r>
    </w:p>
    <w:p>
      <w:pPr>
        <w:pStyle w:val="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2" w:name="_Toc29054"/>
      <w:bookmarkStart w:id="83" w:name="_Toc16894"/>
      <w:r>
        <w:rPr>
          <w:rFonts w:hint="default"/>
          <w:lang w:val="en-US" w:eastAsia="zh-CN"/>
        </w:rPr>
        <w:t>输入</w:t>
      </w:r>
      <w:bookmarkEnd w:id="82"/>
      <w:bookmarkEnd w:id="83"/>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组织战略</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运维服务管理体系目标和范围</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服务管理方针、政策</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相关方的需求和期望</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服务目录</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服务级别协议</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组织架构及职责、权限</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适用的法律、法规及要求</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能力需求分析报告</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差距分析报告</w:t>
      </w:r>
    </w:p>
    <w:p>
      <w:pPr>
        <w:pStyle w:val="a1"/>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hanging="425" w:leftChars="0" w:firstLineChars="0"/>
        <w:textAlignment w:val="baseline"/>
        <w:rPr>
          <w:rFonts w:hint="default"/>
          <w:lang w:val="en-US" w:eastAsia="zh-CN"/>
        </w:rPr>
      </w:pPr>
      <w:r>
        <w:rPr>
          <w:rFonts w:hint="default"/>
          <w:lang w:val="en-US" w:eastAsia="zh-CN"/>
        </w:rPr>
        <w:t>能力改进方案</w:t>
      </w:r>
    </w:p>
    <w:sectPr>
      <w:pgSz w:w="11906" w:h="16838"/>
      <w:pgMar w:top="1440" w:right="1800" w:bottom="1440" w:left="1800" w:header="851" w:footer="992" w:gutter="0"/>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8E964DCE"/>
    <w:multiLevelType w:val="multilevel"/>
    <w:tmpl w:val="8E964DCE"/>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5" w:hanging="575"/>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1" w:hanging="1151"/>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3" w:hanging="1583"/>
      </w:pPr>
      <w:rPr>
        <w:rFonts w:hint="default"/>
      </w:rPr>
    </w:lvl>
  </w:abstractNum>
  <w:abstractNum w:abstractNumId="1">
    <w:nsid w:val="F0965910"/>
    <w:multiLevelType w:val="singleLevel"/>
    <w:tmpl w:val="F0965910"/>
    <w:lvl w:ilvl="0">
      <w:start w:val="1"/>
      <w:numFmt w:val="decimal"/>
      <w:lvlText w:val="%1."/>
      <w:lvlJc w:val="left"/>
      <w:pPr>
        <w:ind w:left="425" w:hanging="425"/>
      </w:pPr>
      <w:rPr>
        <w:rFonts w:hint="default"/>
      </w:rPr>
    </w:lvl>
  </w:abstractNum>
  <w:abstractNum w:abstractNumId="2">
    <w:nsid w:val="106CB73C"/>
    <w:multiLevelType w:val="singleLevel"/>
    <w:tmpl w:val="106CB73C"/>
    <w:lvl w:ilvl="0">
      <w:start w:val="1"/>
      <w:numFmt w:val="decimal"/>
      <w:lvlText w:val="%1."/>
      <w:lvlJc w:val="left"/>
      <w:pPr>
        <w:ind w:left="425" w:hanging="425"/>
      </w:pPr>
      <w:rPr>
        <w:rFonts w:hint="default"/>
      </w:rPr>
    </w:lvl>
  </w:abstractNum>
  <w:abstractNum w:abstractNumId="3">
    <w:nsid w:val="22BE1BE0"/>
    <w:multiLevelType w:val="singleLevel"/>
    <w:tmpl w:val="22BE1BE0"/>
    <w:lvl w:ilvl="0">
      <w:start w:val="1"/>
      <w:numFmt w:val="decimal"/>
      <w:lvlText w:val="%1."/>
      <w:lvlJc w:val="left"/>
      <w:pPr>
        <w:ind w:left="425" w:hanging="425"/>
      </w:pPr>
      <w:rPr>
        <w:rFonts w:hint="default"/>
      </w:rPr>
    </w:lvl>
  </w:abstractNum>
  <w:abstractNum w:abstractNumId="4">
    <w:nsid w:val="2EA0F011"/>
    <w:multiLevelType w:val="singleLevel"/>
    <w:tmpl w:val="2EA0F011"/>
    <w:lvl w:ilvl="0">
      <w:start w:val="1"/>
      <w:numFmt w:val="decimal"/>
      <w:lvlText w:val="%1."/>
      <w:lvlJc w:val="left"/>
      <w:pPr>
        <w:ind w:left="425" w:hanging="425"/>
      </w:pPr>
      <w:rPr>
        <w:rFonts w:hint="default"/>
      </w:rPr>
    </w:lvl>
  </w:abstractNum>
  <w:abstractNum w:abstractNumId="5">
    <w:nsid w:val="357AF1E9"/>
    <w:multiLevelType w:val="singleLevel"/>
    <w:tmpl w:val="357AF1E9"/>
    <w:lvl w:ilvl="0">
      <w:start w:val="1"/>
      <w:numFmt w:val="decimal"/>
      <w:lvlText w:val="%1."/>
      <w:lvlJc w:val="left"/>
      <w:pPr>
        <w:ind w:left="425" w:hanging="425"/>
      </w:pPr>
      <w:rPr>
        <w:rFonts w:hint="default"/>
      </w:rPr>
    </w:lvl>
  </w:abstractNum>
  <w:abstractNum w:abstractNumId="6">
    <w:nsid w:val="55A7C71C"/>
    <w:multiLevelType w:val="singleLevel"/>
    <w:tmpl w:val="55A7C71C"/>
    <w:lvl w:ilvl="0">
      <w:start w:val="1"/>
      <w:numFmt w:val="decimal"/>
      <w:lvlText w:val="%1."/>
      <w:lvlJc w:val="left"/>
      <w:pPr>
        <w:ind w:left="425" w:hanging="425"/>
      </w:pPr>
      <w:rPr>
        <w:rFonts w:hint="default"/>
      </w:rPr>
    </w:lvl>
  </w:abstractNum>
  <w:abstractNum w:abstractNumId="7">
    <w:nsid w:val="713DB514"/>
    <w:multiLevelType w:val="singleLevel"/>
    <w:tmpl w:val="713DB514"/>
    <w:lvl w:ilvl="0">
      <w:start w:val="1"/>
      <w:numFmt w:val="decimal"/>
      <w:lvlText w:val="%1."/>
      <w:lvlJc w:val="left"/>
      <w:pPr>
        <w:ind w:left="425" w:hanging="425"/>
      </w:pPr>
      <w:rPr>
        <w:rFonts w:hint="default"/>
      </w:rPr>
    </w:lvl>
  </w:abstractNum>
  <w:num w:numId="1">
    <w:abstractNumId w:val="0"/>
  </w:num>
  <w:num w:numId="2">
    <w:abstractNumId w:val="7"/>
  </w:num>
  <w:num w:numId="3">
    <w:abstractNumId w:val="6"/>
  </w:num>
  <w:num w:numId="4">
    <w:abstractNumId w:val="5"/>
  </w:num>
  <w:num w:numId="5">
    <w:abstractNumId w:val="3"/>
  </w:num>
  <w:num w:numId="6">
    <w:abstractNumId w:val="2"/>
  </w:num>
  <w:num w:numId="7">
    <w:abstractNumId w:val="4"/>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embedSystemFonts/>
  <w:doNotTrackMove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qFormat="1"/>
    <w:lsdException w:name="heading 3" w:uiPriority="0" w:qFormat="1"/>
    <w:lsdException w:name="heading 4" w:semiHidden="0"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qFormat="1"/>
    <w:lsdException w:name="toc 2" w:semiHidden="0" w:uiPriority="0" w:unhideWhenUsed="0" w:qFormat="1"/>
    <w:lsdException w:name="toc 3" w:semiHidden="0" w:uiPriority="0" w:unhideWhenUsed="0" w:qFormat="1"/>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qFormat="1"/>
    <w:lsdException w:name="header" w:semiHidden="0" w:uiPriority="0" w:unhideWhenUsed="0" w:qFormat="1"/>
    <w:lsdException w:name="footer" w:semiHidden="0" w:uiPriority="0" w:unhideWhenUsed="0" w:qFormat="1"/>
    <w:lsdException w:name="index heading" w:semiHidden="0" w:uiPriority="0" w:unhideWhenUsed="0"/>
    <w:lsdException w:name="caption" w:uiPriority="0" w:qFormat="1"/>
    <w:lsdException w:name="table of figures" w:semiHidden="0" w:uiPriority="0" w:unhideWhenUsed="0" w:qFormat="1"/>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qFormat="1"/>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kinsoku w:val="0"/>
      <w:autoSpaceDE w:val="0"/>
      <w:autoSpaceDN w:val="0"/>
      <w:adjustRightInd w:val="0"/>
      <w:snapToGrid w:val="0"/>
      <w:spacing w:line="360" w:lineRule="auto"/>
      <w:jc w:val="left"/>
      <w:textAlignment w:val="baseline"/>
    </w:pPr>
    <w:rPr>
      <w:rFonts w:ascii="Arial" w:eastAsia="宋体" w:hAnsi="Arial" w:cs="Arial"/>
      <w:snapToGrid w:val="0"/>
      <w:color w:val="000000"/>
      <w:kern w:val="0"/>
      <w:sz w:val="21"/>
      <w:szCs w:val="21"/>
      <w:lang w:val="en-US" w:eastAsia="en-US" w:bidi="ar-SA"/>
    </w:rPr>
  </w:style>
  <w:style w:type="paragraph" w:styleId="Heading1">
    <w:name w:val="heading 1"/>
    <w:basedOn w:val="Normal"/>
    <w:next w:val="Normal"/>
    <w:qFormat/>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Heading2">
    <w:name w:val="heading 2"/>
    <w:basedOn w:val="Normal"/>
    <w:next w:val="Normal"/>
    <w:unhideWhenUsed/>
    <w:qFormat/>
    <w:pPr>
      <w:keepNext/>
      <w:keepLines/>
      <w:numPr>
        <w:ilvl w:val="1"/>
        <w:numId w:val="1"/>
      </w:numPr>
      <w:spacing w:before="260" w:beforeLines="0" w:beforeAutospacing="0" w:after="260" w:afterLines="0" w:afterAutospacing="0" w:line="413" w:lineRule="auto"/>
      <w:ind w:left="575" w:hanging="575"/>
      <w:outlineLvl w:val="1"/>
    </w:pPr>
    <w:rPr>
      <w:rFonts w:ascii="Arial" w:eastAsia="黑体" w:hAnsi="Arial"/>
      <w:b/>
      <w:sz w:val="32"/>
    </w:rPr>
  </w:style>
  <w:style w:type="paragraph" w:styleId="Heading3">
    <w:name w:val="heading 3"/>
    <w:basedOn w:val="Normal"/>
    <w:next w:val="Normal"/>
    <w:semiHidden/>
    <w:unhideWhenUsed/>
    <w:qFormat/>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Heading4">
    <w:name w:val="heading 4"/>
    <w:basedOn w:val="Normal"/>
    <w:next w:val="Normal"/>
    <w:unhideWhenUsed/>
    <w:qFormat/>
    <w:pPr>
      <w:keepNext/>
      <w:keepLines/>
      <w:numPr>
        <w:ilvl w:val="3"/>
        <w:numId w:val="1"/>
      </w:numPr>
      <w:spacing w:before="280" w:beforeLines="0" w:beforeAutospacing="0" w:after="290" w:afterLines="0" w:afterAutospacing="0" w:line="372" w:lineRule="auto"/>
      <w:ind w:left="864" w:hanging="864"/>
      <w:outlineLvl w:val="3"/>
    </w:pPr>
    <w:rPr>
      <w:rFonts w:ascii="Arial" w:eastAsia="黑体" w:hAnsi="Arial"/>
      <w:b/>
      <w:sz w:val="28"/>
    </w:rPr>
  </w:style>
  <w:style w:type="paragraph" w:styleId="Heading5">
    <w:name w:val="heading 5"/>
    <w:basedOn w:val="Normal"/>
    <w:next w:val="Normal"/>
    <w:semiHidden/>
    <w:unhideWhenUsed/>
    <w:qFormat/>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Heading6">
    <w:name w:val="heading 6"/>
    <w:basedOn w:val="Normal"/>
    <w:next w:val="Normal"/>
    <w:semiHidden/>
    <w:unhideWhenUsed/>
    <w:qFormat/>
    <w:pPr>
      <w:keepNext/>
      <w:keepLines/>
      <w:numPr>
        <w:ilvl w:val="5"/>
        <w:numId w:val="1"/>
      </w:numPr>
      <w:spacing w:before="240" w:beforeLines="0" w:beforeAutospacing="0" w:after="64" w:afterLines="0" w:afterAutospacing="0" w:line="317" w:lineRule="auto"/>
      <w:ind w:left="1151" w:hanging="1151"/>
      <w:outlineLvl w:val="5"/>
    </w:pPr>
    <w:rPr>
      <w:rFonts w:ascii="Arial" w:eastAsia="黑体" w:hAnsi="Arial"/>
      <w:b/>
      <w:sz w:val="24"/>
    </w:rPr>
  </w:style>
  <w:style w:type="paragraph" w:styleId="Heading7">
    <w:name w:val="heading 7"/>
    <w:basedOn w:val="Normal"/>
    <w:next w:val="Normal"/>
    <w:semiHidden/>
    <w:unhideWhenUsed/>
    <w:qFormat/>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Heading8">
    <w:name w:val="heading 8"/>
    <w:basedOn w:val="Normal"/>
    <w:next w:val="Normal"/>
    <w:semiHidden/>
    <w:unhideWhenUsed/>
    <w:qFormat/>
    <w:pPr>
      <w:keepNext/>
      <w:keepLines/>
      <w:numPr>
        <w:ilvl w:val="7"/>
        <w:numId w:val="1"/>
      </w:numPr>
      <w:spacing w:before="240" w:beforeLines="0" w:beforeAutospacing="0" w:after="64" w:afterLines="0" w:afterAutospacing="0" w:line="317" w:lineRule="auto"/>
      <w:ind w:left="1440" w:hanging="1440"/>
      <w:outlineLvl w:val="7"/>
    </w:pPr>
    <w:rPr>
      <w:rFonts w:ascii="Arial" w:eastAsia="黑体" w:hAnsi="Arial"/>
      <w:sz w:val="24"/>
    </w:rPr>
  </w:style>
  <w:style w:type="paragraph" w:styleId="Heading9">
    <w:name w:val="heading 9"/>
    <w:basedOn w:val="Normal"/>
    <w:next w:val="Normal"/>
    <w:semiHidden/>
    <w:unhideWhenUsed/>
    <w:qFormat/>
    <w:pPr>
      <w:keepNext/>
      <w:keepLines/>
      <w:numPr>
        <w:ilvl w:val="8"/>
        <w:numId w:val="1"/>
      </w:numPr>
      <w:spacing w:before="240" w:beforeLines="0" w:beforeAutospacing="0" w:after="64" w:afterLines="0" w:afterAutospacing="0" w:line="317" w:lineRule="auto"/>
      <w:ind w:left="1583" w:hanging="1583"/>
      <w:outlineLvl w:val="8"/>
    </w:pPr>
    <w:rPr>
      <w:rFonts w:ascii="Arial" w:eastAsia="黑体" w:hAnsi="Arial"/>
      <w:sz w:val="21"/>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style>
  <w:style w:type="paragraph" w:styleId="Caption">
    <w:name w:val="caption"/>
    <w:basedOn w:val="Normal"/>
    <w:next w:val="Normal"/>
    <w:semiHidden/>
    <w:unhideWhenUsed/>
    <w:qFormat/>
    <w:rPr>
      <w:rFonts w:ascii="Arial" w:eastAsia="黑体" w:hAnsi="Arial"/>
      <w:sz w:val="20"/>
    </w:rPr>
  </w:style>
  <w:style w:type="paragraph" w:styleId="CommentText">
    <w:name w:val="annotation text"/>
    <w:basedOn w:val="Normal"/>
    <w:qFormat/>
    <w:pPr>
      <w:jc w:val="left"/>
    </w:pPr>
  </w:style>
  <w:style w:type="paragraph" w:styleId="BodyText">
    <w:name w:val="Body Text"/>
    <w:basedOn w:val="Normal"/>
    <w:semiHidden/>
    <w:qFormat/>
    <w:rPr>
      <w:rFonts w:ascii="Arial" w:eastAsia="Arial" w:hAnsi="Arial" w:cs="Arial"/>
      <w:sz w:val="21"/>
      <w:szCs w:val="21"/>
      <w:lang w:val="en-US" w:eastAsia="en-US" w:bidi="ar-SA"/>
    </w:rPr>
  </w:style>
  <w:style w:type="paragraph" w:styleId="TOC3">
    <w:name w:val="toc 3"/>
    <w:basedOn w:val="Normal"/>
    <w:next w:val="Normal"/>
    <w:qFormat/>
    <w:pPr>
      <w:ind w:left="840" w:leftChars="400"/>
    </w:pPr>
  </w:style>
  <w:style w:type="paragraph" w:styleId="Footer">
    <w:name w:val="footer"/>
    <w:basedOn w:val="Normal"/>
    <w:qFormat/>
    <w:pPr>
      <w:tabs>
        <w:tab w:val="center" w:pos="4153"/>
        <w:tab w:val="right" w:pos="8306"/>
      </w:tabs>
      <w:snapToGrid w:val="0"/>
      <w:jc w:val="left"/>
    </w:pPr>
    <w:rPr>
      <w:sz w:val="18"/>
    </w:rPr>
  </w:style>
  <w:style w:type="paragraph" w:styleId="Header">
    <w:name w:val="header"/>
    <w:basedOn w:val="Normal"/>
    <w:qFormat/>
    <w:pPr>
      <w:pBdr>
        <w:top w:val="nil"/>
        <w:left w:val="nil"/>
        <w:bottom w:val="nil"/>
        <w:right w:val="nil"/>
      </w:pBdr>
      <w:tabs>
        <w:tab w:val="center" w:pos="4153"/>
        <w:tab w:val="right" w:pos="8306"/>
      </w:tabs>
      <w:snapToGrid w:val="0"/>
      <w:spacing w:line="240" w:lineRule="auto"/>
      <w:jc w:val="both"/>
      <w:outlineLvl w:val="9"/>
    </w:pPr>
    <w:rPr>
      <w:sz w:val="18"/>
    </w:rPr>
  </w:style>
  <w:style w:type="paragraph" w:styleId="TOC1">
    <w:name w:val="toc 1"/>
    <w:basedOn w:val="Normal"/>
    <w:next w:val="Normal"/>
    <w:qFormat/>
    <w:rPr>
      <w:rFonts w:ascii="Arial" w:eastAsia="Microsoft JhengHei" w:hAnsi="Arial"/>
      <w:sz w:val="24"/>
    </w:rPr>
  </w:style>
  <w:style w:type="paragraph" w:styleId="TableofFigures">
    <w:name w:val="table of figures"/>
    <w:basedOn w:val="Normal"/>
    <w:next w:val="Normal"/>
    <w:qFormat/>
    <w:pPr>
      <w:ind w:hanging="200" w:leftChars="200" w:hangingChars="200"/>
    </w:pPr>
  </w:style>
  <w:style w:type="paragraph" w:styleId="TOC2">
    <w:name w:val="toc 2"/>
    <w:basedOn w:val="Normal"/>
    <w:next w:val="Normal"/>
    <w:qFormat/>
    <w:pPr>
      <w:ind w:left="420" w:leftChars="200"/>
    </w:pPr>
  </w:style>
  <w:style w:type="paragraph" w:styleId="HTMLPreformatted">
    <w:name w:val="HTML Preformatt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hint="eastAsia"/>
      <w:kern w:val="0"/>
      <w:sz w:val="24"/>
      <w:szCs w:val="24"/>
      <w:lang w:val="en-US" w:eastAsia="zh-CN"/>
    </w:rPr>
  </w:style>
  <w:style w:type="paragraph" w:styleId="NormalWeb">
    <w:name w:val="Normal (Web)"/>
    <w:basedOn w:val="Normal"/>
    <w:qFormat/>
    <w:rPr>
      <w:sz w:val="24"/>
    </w:rPr>
  </w:style>
  <w:style w:type="paragraph" w:styleId="Title">
    <w:name w:val="Title"/>
    <w:basedOn w:val="Normal"/>
    <w:qFormat/>
    <w:pPr>
      <w:spacing w:before="240" w:beforeLines="0" w:beforeAutospacing="0" w:after="60" w:afterLines="0" w:afterAutospacing="0"/>
      <w:jc w:val="center"/>
      <w:outlineLvl w:val="0"/>
    </w:pPr>
    <w:rPr>
      <w:rFonts w:ascii="Arial" w:hAnsi="Arial"/>
      <w:b/>
      <w:sz w:val="3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qFormat/>
    <w:rPr>
      <w:b/>
    </w:rPr>
  </w:style>
  <w:style w:type="paragraph" w:customStyle="1" w:styleId="a">
    <w:name w:val="柴_公司名"/>
    <w:basedOn w:val="Title"/>
    <w:qFormat/>
    <w:pPr>
      <w:spacing w:after="600" w:afterLines="600"/>
    </w:pPr>
    <w:rPr>
      <w:rFonts w:ascii="宋体" w:eastAsia="宋体" w:hAnsi="宋体" w:cs="宋体" w:hint="eastAsia"/>
      <w:bCs/>
      <w:spacing w:val="-6"/>
      <w:sz w:val="52"/>
      <w:szCs w:val="52"/>
    </w:rPr>
  </w:style>
  <w:style w:type="paragraph" w:customStyle="1" w:styleId="a0">
    <w:name w:val="柴_文档名"/>
    <w:basedOn w:val="Title"/>
    <w:qFormat/>
    <w:pPr>
      <w:spacing w:after="900" w:afterLines="900"/>
    </w:pPr>
    <w:rPr>
      <w:rFonts w:ascii="黑体" w:eastAsia="黑体" w:hAnsi="黑体" w:cs="黑体"/>
      <w:bCs/>
      <w:spacing w:val="-7"/>
      <w:sz w:val="52"/>
      <w:szCs w:val="52"/>
    </w:rPr>
  </w:style>
  <w:style w:type="table" w:customStyle="1" w:styleId="TableNormal0">
    <w:name w:val="Table Normal_0"/>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宋体" w:eastAsia="宋体" w:hAnsi="宋体" w:cs="宋体"/>
      <w:sz w:val="21"/>
      <w:szCs w:val="21"/>
      <w:lang w:val="en-US" w:eastAsia="en-US" w:bidi="ar-SA"/>
    </w:rPr>
  </w:style>
  <w:style w:type="paragraph" w:customStyle="1" w:styleId="1">
    <w:name w:val="柴_标题1"/>
    <w:basedOn w:val="Heading1"/>
    <w:next w:val="a1"/>
    <w:link w:val="1Char"/>
    <w:qFormat/>
    <w:pPr>
      <w:spacing w:before="100" w:after="90" w:line="360" w:lineRule="auto"/>
    </w:pPr>
    <w:rPr>
      <w:rFonts w:ascii="Arial" w:eastAsia="宋体" w:hAnsi="Arial"/>
      <w:sz w:val="32"/>
    </w:rPr>
  </w:style>
  <w:style w:type="paragraph" w:customStyle="1" w:styleId="a1">
    <w:name w:val="柴_正文"/>
    <w:basedOn w:val="BodyText"/>
    <w:link w:val="Char"/>
    <w:qFormat/>
    <w:pPr>
      <w:spacing w:line="360" w:lineRule="auto"/>
      <w:ind w:firstLine="470" w:firstLineChars="200"/>
    </w:pPr>
    <w:rPr>
      <w:rFonts w:ascii="Arial" w:eastAsia="宋体" w:hAnsi="Arial"/>
      <w:sz w:val="24"/>
      <w:lang w:eastAsia="zh-CN"/>
    </w:rPr>
  </w:style>
  <w:style w:type="paragraph" w:customStyle="1" w:styleId="2">
    <w:name w:val="柴_标题2"/>
    <w:basedOn w:val="Heading2"/>
    <w:next w:val="a1"/>
    <w:link w:val="2Char"/>
    <w:qFormat/>
    <w:pPr>
      <w:spacing w:line="360" w:lineRule="auto"/>
    </w:pPr>
    <w:rPr>
      <w:rFonts w:ascii="Arial" w:eastAsia="宋体" w:hAnsi="Arial"/>
      <w:sz w:val="28"/>
    </w:rPr>
  </w:style>
  <w:style w:type="paragraph" w:customStyle="1" w:styleId="3">
    <w:name w:val="柴_标题3"/>
    <w:basedOn w:val="Heading3"/>
    <w:next w:val="a1"/>
    <w:qFormat/>
    <w:pPr>
      <w:spacing w:line="360" w:lineRule="auto"/>
      <w:ind w:left="0" w:firstLine="472" w:firstLineChars="200"/>
    </w:pPr>
    <w:rPr>
      <w:rFonts w:ascii="宋体" w:eastAsia="宋体" w:hAnsi="宋体" w:cs="宋体"/>
      <w:spacing w:val="-2"/>
      <w:sz w:val="24"/>
      <w:szCs w:val="24"/>
    </w:rPr>
  </w:style>
  <w:style w:type="paragraph" w:customStyle="1" w:styleId="a2">
    <w:name w:val="柴_目录"/>
    <w:basedOn w:val="Normal"/>
    <w:next w:val="BodyText"/>
    <w:qFormat/>
    <w:pPr>
      <w:tabs>
        <w:tab w:val="right" w:leader="dot" w:pos="8442"/>
      </w:tabs>
      <w:ind w:left="0" w:leftChars="0"/>
    </w:pPr>
    <w:rPr>
      <w:rFonts w:ascii="Arial" w:eastAsia="Microsoft JhengHei" w:hAnsi="Arial"/>
      <w:sz w:val="24"/>
    </w:rPr>
  </w:style>
  <w:style w:type="paragraph" w:customStyle="1" w:styleId="WPSOffice1">
    <w:name w:val="WPSOffice手动目录 1"/>
    <w:qFormat/>
    <w:pPr>
      <w:ind w:leftChars="0"/>
    </w:pPr>
    <w:rPr>
      <w:rFonts w:ascii="Times New Roman" w:eastAsia="宋体" w:hAnsi="Times New Roman" w:cs="Times New Roman"/>
      <w:sz w:val="20"/>
      <w:szCs w:val="20"/>
    </w:rPr>
  </w:style>
  <w:style w:type="paragraph" w:customStyle="1" w:styleId="WPSOffice2">
    <w:name w:val="WPSOffice手动目录 2"/>
    <w:qFormat/>
    <w:pPr>
      <w:ind w:leftChars="200"/>
    </w:pPr>
    <w:rPr>
      <w:rFonts w:ascii="Times New Roman" w:eastAsia="宋体" w:hAnsi="Times New Roman" w:cs="Times New Roman"/>
      <w:sz w:val="20"/>
      <w:szCs w:val="20"/>
    </w:rPr>
  </w:style>
  <w:style w:type="paragraph" w:customStyle="1" w:styleId="WPSOffice3">
    <w:name w:val="WPSOffice手动目录 3"/>
    <w:qFormat/>
    <w:pPr>
      <w:ind w:leftChars="400"/>
    </w:pPr>
    <w:rPr>
      <w:rFonts w:ascii="Times New Roman" w:eastAsia="宋体" w:hAnsi="Times New Roman" w:cs="Times New Roman"/>
      <w:sz w:val="20"/>
      <w:szCs w:val="20"/>
    </w:rPr>
  </w:style>
  <w:style w:type="paragraph" w:customStyle="1" w:styleId="Compact">
    <w:name w:val="Compact"/>
    <w:basedOn w:val="BodyText"/>
    <w:qFormat/>
    <w:pPr>
      <w:spacing w:before="36" w:after="36"/>
    </w:pPr>
  </w:style>
  <w:style w:type="table" w:customStyle="1" w:styleId="Table">
    <w:name w:val="Table"/>
    <w:semiHidden/>
    <w:unhideWhenUsed/>
    <w:qFormat/>
    <w:tblPr>
      <w:tblCellMar>
        <w:top w:w="0" w:type="dxa"/>
        <w:left w:w="108" w:type="dxa"/>
        <w:bottom w:w="0" w:type="dxa"/>
        <w:right w:w="108" w:type="dxa"/>
      </w:tblCellMar>
    </w:tblPr>
    <w:tblStylePr w:type="firstRow">
      <w:tcPr>
        <w:tcBorders>
          <w:bottom w:val="single" w:sz="0" w:space="0" w:color="auto"/>
        </w:tcBorders>
        <w:vAlign w:val="bottom"/>
      </w:tcPr>
    </w:tblStylePr>
  </w:style>
  <w:style w:type="character" w:customStyle="1" w:styleId="1Char">
    <w:name w:val="柴_标题1 Char"/>
    <w:link w:val="1"/>
    <w:qFormat/>
    <w:rPr>
      <w:rFonts w:ascii="Arial" w:eastAsia="宋体" w:hAnsi="Arial"/>
      <w:sz w:val="32"/>
    </w:rPr>
  </w:style>
  <w:style w:type="paragraph" w:customStyle="1" w:styleId="a3">
    <w:name w:val="柴_正文_无缩进"/>
    <w:basedOn w:val="Normal"/>
    <w:link w:val="Char0"/>
    <w:qFormat/>
    <w:pPr>
      <w:ind w:firstLine="0" w:firstLineChars="0"/>
    </w:pPr>
    <w:rPr>
      <w:rFonts w:ascii="Arial" w:hAnsi="Arial"/>
      <w:sz w:val="24"/>
      <w:lang w:eastAsia="zh-CN"/>
    </w:rPr>
  </w:style>
  <w:style w:type="paragraph" w:customStyle="1" w:styleId="4">
    <w:name w:val="柴_标题4"/>
    <w:basedOn w:val="Heading4"/>
    <w:next w:val="Normal"/>
    <w:qFormat/>
    <w:pPr>
      <w:widowControl w:val="0"/>
      <w:spacing w:before="160" w:line="360" w:lineRule="auto"/>
      <w:ind w:left="981" w:hanging="862" w:leftChars="300"/>
    </w:pPr>
    <w:rPr>
      <w:rFonts w:ascii="Calibri" w:eastAsia="宋体" w:hAnsi="Calibri" w:cs="宋体" w:hint="eastAsia"/>
      <w:sz w:val="24"/>
      <w:szCs w:val="24"/>
      <w:lang w:eastAsia="zh-CN" w:bidi="zh-CN"/>
    </w:rPr>
  </w:style>
  <w:style w:type="character" w:customStyle="1" w:styleId="Char">
    <w:name w:val="柴_正文 Char"/>
    <w:link w:val="a1"/>
    <w:qFormat/>
    <w:rPr>
      <w:rFonts w:ascii="Arial" w:eastAsia="宋体" w:hAnsi="Arial"/>
      <w:sz w:val="24"/>
      <w:lang w:eastAsia="zh-CN"/>
    </w:rPr>
  </w:style>
  <w:style w:type="table" w:customStyle="1" w:styleId="TableNormal00">
    <w:name w:val="Table Normal_0_0"/>
    <w:semiHidden/>
    <w:unhideWhenUsed/>
    <w:qFormat/>
    <w:tblPr>
      <w:tblCellMar>
        <w:top w:w="0" w:type="dxa"/>
        <w:left w:w="0" w:type="dxa"/>
        <w:bottom w:w="0" w:type="dxa"/>
        <w:right w:w="0" w:type="dxa"/>
      </w:tblCellMar>
    </w:tblPr>
  </w:style>
  <w:style w:type="character" w:customStyle="1" w:styleId="Char0">
    <w:name w:val="柴_正文_无缩进 Char"/>
    <w:link w:val="a3"/>
    <w:qFormat/>
    <w:rPr>
      <w:rFonts w:ascii="Arial" w:hAnsi="Arial"/>
      <w:sz w:val="24"/>
      <w:lang w:eastAsia="zh-CN"/>
    </w:rPr>
  </w:style>
  <w:style w:type="character" w:customStyle="1" w:styleId="2Char">
    <w:name w:val="柴_标题2 Char"/>
    <w:link w:val="2"/>
    <w:qFormat/>
    <w:rPr>
      <w:rFonts w:ascii="Arial" w:eastAsia="宋体" w:hAnsi="Arial"/>
      <w:sz w:val="28"/>
    </w:rPr>
  </w:style>
  <w:style w:type="character" w:customStyle="1" w:styleId="Char1">
    <w:name w:val="柴_题注 Char"/>
    <w:link w:val="a4"/>
    <w:qFormat/>
  </w:style>
  <w:style w:type="paragraph" w:customStyle="1" w:styleId="a4">
    <w:name w:val="柴_题注"/>
    <w:basedOn w:val="HTMLPreformatted"/>
    <w:link w:val="Char1"/>
    <w:qFormat/>
    <w:pPr>
      <w:pBdr>
        <w:top w:val="nil"/>
        <w:left w:val="nil"/>
        <w:bottom w:val="nil"/>
        <w:right w:val="nil"/>
      </w:pBdr>
      <w:wordWrap w:val="0"/>
      <w:spacing w:line="264" w:lineRule="atLeas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4</TotalTime>
  <Pages>22</Pages>
  <Words>8448</Words>
  <Characters>8692</Characters>
  <Application>Microsoft Office Word</Application>
  <DocSecurity>0</DocSecurity>
  <Lines>0</Lines>
  <Paragraphs>0</Paragraphs>
  <ScaleCrop>false</ScaleCrop>
  <Company/>
  <LinksUpToDate>false</LinksUpToDate>
  <CharactersWithSpaces>8795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郝宇</cp:lastModifiedBy>
  <cp:revision>0</cp:revision>
  <dcterms:created xsi:type="dcterms:W3CDTF">2026-03-11T00:26:00Z</dcterms:created>
  <dcterms:modified xsi:type="dcterms:W3CDTF">2026-06-10T09:13:33Z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2052-12.1.0.26895</vt:lpwstr>
  </property>
  <property fmtid="{D5CDD505-2E9C-101B-9397-08002B2CF9AE}" pid="4" name="KSOTemplateDocerSaveRecord">
    <vt:lpwstr>eyJoZGlkIjoiZWI4NmUzMGY2ODA3MDc4ZTFlMjZjZTAyMjM0NmVmODgiLCJ1c2VySWQiOiIxMDc1MzgyOSJ9</vt:lpwstr>
  </property>
</Properties>
</file>