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2026年度运维服务能力管理计划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75207"/>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_Toc112 </w:instrText>
          </w:r>
          <w:r>
            <w:fldChar w:fldCharType="separate"/>
          </w:r>
          <w:r>
            <w:rPr>
              <w:rFonts w:hint="default"/>
              <w:lang w:val="en-US" w:eastAsia="zh-CN"/>
            </w:rPr>
            <w:t>1. 公司现状分析</w:t>
          </w:r>
          <w:r>
            <w:tab/>
          </w:r>
          <w:r>
            <w:fldChar w:fldCharType="begin"/>
          </w:r>
          <w:r>
            <w:instrText xml:space="preserve"> PAGEREF _Toc112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_Toc14196 </w:instrText>
          </w:r>
          <w:r>
            <w:fldChar w:fldCharType="separate"/>
          </w:r>
          <w:r>
            <w:rPr>
              <w:rFonts w:hint="default"/>
              <w:lang w:val="en-US" w:eastAsia="zh-CN"/>
            </w:rPr>
            <w:t>1.1. 优势分析</w:t>
          </w:r>
          <w:r>
            <w:tab/>
          </w:r>
          <w:r>
            <w:fldChar w:fldCharType="begin"/>
          </w:r>
          <w:r>
            <w:instrText xml:space="preserve"> PAGEREF _Toc14196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_Toc17389 </w:instrText>
          </w:r>
          <w:r>
            <w:fldChar w:fldCharType="separate"/>
          </w:r>
          <w:r>
            <w:rPr>
              <w:rFonts w:hint="default"/>
              <w:lang w:val="en-US" w:eastAsia="zh-CN"/>
            </w:rPr>
            <w:t>1.2. 待改进方面</w:t>
          </w:r>
          <w:r>
            <w:tab/>
          </w:r>
          <w:r>
            <w:fldChar w:fldCharType="begin"/>
          </w:r>
          <w:r>
            <w:instrText xml:space="preserve"> PAGEREF _Toc17389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_Toc24037 </w:instrText>
          </w:r>
          <w:r>
            <w:fldChar w:fldCharType="separate"/>
          </w:r>
          <w:r>
            <w:rPr>
              <w:rFonts w:hint="default"/>
              <w:lang w:val="en-US" w:eastAsia="zh-CN"/>
            </w:rPr>
            <w:t>2. 运维业务分析</w:t>
          </w:r>
          <w:r>
            <w:tab/>
          </w:r>
          <w:r>
            <w:fldChar w:fldCharType="begin"/>
          </w:r>
          <w:r>
            <w:instrText xml:space="preserve"> PAGEREF _Toc24037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_Toc5635 </w:instrText>
          </w:r>
          <w:r>
            <w:fldChar w:fldCharType="separate"/>
          </w:r>
          <w:r>
            <w:rPr>
              <w:rFonts w:hint="default"/>
              <w:lang w:val="en-US" w:eastAsia="zh-CN"/>
            </w:rPr>
            <w:t>2.1. 开展运维服务的优势</w:t>
          </w:r>
          <w:r>
            <w:tab/>
          </w:r>
          <w:r>
            <w:fldChar w:fldCharType="begin"/>
          </w:r>
          <w:r>
            <w:instrText xml:space="preserve"> PAGEREF _Toc5635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_Toc20232 </w:instrText>
          </w:r>
          <w:r>
            <w:fldChar w:fldCharType="separate"/>
          </w:r>
          <w:r>
            <w:rPr>
              <w:rFonts w:hint="default"/>
              <w:lang w:val="en-US" w:eastAsia="zh-CN"/>
            </w:rPr>
            <w:t>2.2. 开展运维服务的待改进方面</w:t>
          </w:r>
          <w:r>
            <w:tab/>
          </w:r>
          <w:r>
            <w:fldChar w:fldCharType="begin"/>
          </w:r>
          <w:r>
            <w:instrText xml:space="preserve"> PAGEREF _Toc20232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_Toc25999 </w:instrText>
          </w:r>
          <w:r>
            <w:fldChar w:fldCharType="separate"/>
          </w:r>
          <w:r>
            <w:rPr>
              <w:rFonts w:hint="default"/>
              <w:lang w:val="en-US" w:eastAsia="zh-CN"/>
            </w:rPr>
            <w:t>2.2.1. 人员管理方面</w:t>
          </w:r>
          <w:r>
            <w:tab/>
          </w:r>
          <w:r>
            <w:fldChar w:fldCharType="begin"/>
          </w:r>
          <w:r>
            <w:instrText xml:space="preserve"> PAGEREF _Toc25999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_Toc27684 </w:instrText>
          </w:r>
          <w:r>
            <w:fldChar w:fldCharType="separate"/>
          </w:r>
          <w:r>
            <w:rPr>
              <w:rFonts w:hint="default"/>
              <w:lang w:val="en-US" w:eastAsia="zh-CN"/>
            </w:rPr>
            <w:t>2.2.2. 资源管理方面</w:t>
          </w:r>
          <w:r>
            <w:tab/>
          </w:r>
          <w:r>
            <w:fldChar w:fldCharType="begin"/>
          </w:r>
          <w:r>
            <w:instrText xml:space="preserve"> PAGEREF _Toc27684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_Toc3350 </w:instrText>
          </w:r>
          <w:r>
            <w:fldChar w:fldCharType="separate"/>
          </w:r>
          <w:r>
            <w:rPr>
              <w:rFonts w:hint="default"/>
              <w:lang w:val="en-US" w:eastAsia="zh-CN"/>
            </w:rPr>
            <w:t>2.2.3. 技术管理方面</w:t>
          </w:r>
          <w:r>
            <w:tab/>
          </w:r>
          <w:r>
            <w:fldChar w:fldCharType="begin"/>
          </w:r>
          <w:r>
            <w:instrText xml:space="preserve"> PAGEREF _Toc3350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_Toc4771 </w:instrText>
          </w:r>
          <w:r>
            <w:fldChar w:fldCharType="separate"/>
          </w:r>
          <w:r>
            <w:rPr>
              <w:rFonts w:hint="default"/>
              <w:lang w:val="en-US" w:eastAsia="zh-CN"/>
            </w:rPr>
            <w:t>2.2.4. 过程管理方面</w:t>
          </w:r>
          <w:r>
            <w:tab/>
          </w:r>
          <w:r>
            <w:fldChar w:fldCharType="begin"/>
          </w:r>
          <w:r>
            <w:instrText xml:space="preserve"> PAGEREF _Toc4771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_Toc30081 </w:instrText>
          </w:r>
          <w:r>
            <w:fldChar w:fldCharType="separate"/>
          </w:r>
          <w:r>
            <w:rPr>
              <w:rFonts w:hint="default"/>
              <w:lang w:val="en-US" w:eastAsia="zh-CN"/>
            </w:rPr>
            <w:t>3. 年度运维服务能力计划</w:t>
          </w:r>
          <w:r>
            <w:tab/>
          </w:r>
          <w:r>
            <w:fldChar w:fldCharType="begin"/>
          </w:r>
          <w:r>
            <w:instrText xml:space="preserve"> PAGEREF _Toc30081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_Toc11334 </w:instrText>
          </w:r>
          <w:r>
            <w:fldChar w:fldCharType="separate"/>
          </w:r>
          <w:r>
            <w:rPr>
              <w:rFonts w:hint="default"/>
              <w:lang w:val="en-US" w:eastAsia="zh-CN"/>
            </w:rPr>
            <w:t>3.1. 人员管理规划</w:t>
          </w:r>
          <w:r>
            <w:tab/>
          </w:r>
          <w:r>
            <w:fldChar w:fldCharType="begin"/>
          </w:r>
          <w:r>
            <w:instrText xml:space="preserve"> PAGEREF _Toc11334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_Toc31754 </w:instrText>
          </w:r>
          <w:r>
            <w:fldChar w:fldCharType="separate"/>
          </w:r>
          <w:r>
            <w:rPr>
              <w:rFonts w:hint="default"/>
              <w:lang w:val="en-US" w:eastAsia="zh-CN"/>
            </w:rPr>
            <w:t xml:space="preserve">3.1.1. </w:t>
          </w:r>
          <w:r>
            <w:rPr>
              <w:rFonts w:hint="eastAsia"/>
              <w:lang w:val="en-US" w:eastAsia="zh-CN"/>
            </w:rPr>
            <w:t>人员招聘计划</w:t>
          </w:r>
          <w:r>
            <w:tab/>
          </w:r>
          <w:r>
            <w:fldChar w:fldCharType="begin"/>
          </w:r>
          <w:r>
            <w:instrText xml:space="preserve"> PAGEREF _Toc31754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_Toc14836 </w:instrText>
          </w:r>
          <w:r>
            <w:fldChar w:fldCharType="separate"/>
          </w:r>
          <w:r>
            <w:rPr>
              <w:rFonts w:hint="default"/>
              <w:lang w:val="en-US" w:eastAsia="zh-CN"/>
            </w:rPr>
            <w:t xml:space="preserve">3.1.2. </w:t>
          </w:r>
          <w:r>
            <w:rPr>
              <w:rFonts w:hint="eastAsia"/>
              <w:lang w:val="en-US" w:eastAsia="zh-CN"/>
            </w:rPr>
            <w:t>人员储备计划</w:t>
          </w:r>
          <w:r>
            <w:tab/>
          </w:r>
          <w:r>
            <w:fldChar w:fldCharType="begin"/>
          </w:r>
          <w:r>
            <w:instrText xml:space="preserve"> PAGEREF _Toc14836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_Toc7237 </w:instrText>
          </w:r>
          <w:r>
            <w:fldChar w:fldCharType="separate"/>
          </w:r>
          <w:r>
            <w:rPr>
              <w:rFonts w:hint="default"/>
              <w:lang w:val="en-US" w:eastAsia="zh-CN"/>
            </w:rPr>
            <w:t xml:space="preserve">3.1.3. </w:t>
          </w:r>
          <w:r>
            <w:rPr>
              <w:rFonts w:hint="eastAsia"/>
              <w:lang w:val="en-US" w:eastAsia="zh-CN"/>
            </w:rPr>
            <w:t>人员培训计划</w:t>
          </w:r>
          <w:r>
            <w:tab/>
          </w:r>
          <w:r>
            <w:fldChar w:fldCharType="begin"/>
          </w:r>
          <w:r>
            <w:instrText xml:space="preserve"> PAGEREF _Toc7237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_Toc30225 </w:instrText>
          </w:r>
          <w:r>
            <w:fldChar w:fldCharType="separate"/>
          </w:r>
          <w:r>
            <w:rPr>
              <w:rFonts w:hint="default"/>
              <w:lang w:val="en-US" w:eastAsia="zh-CN"/>
            </w:rPr>
            <w:t xml:space="preserve">3.1.4. </w:t>
          </w:r>
          <w:r>
            <w:rPr>
              <w:rFonts w:hint="eastAsia"/>
              <w:lang w:val="en-US" w:eastAsia="zh-CN"/>
            </w:rPr>
            <w:t>人员备份计划</w:t>
          </w:r>
          <w:r>
            <w:tab/>
          </w:r>
          <w:r>
            <w:fldChar w:fldCharType="begin"/>
          </w:r>
          <w:r>
            <w:instrText xml:space="preserve"> PAGEREF _Toc30225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_Toc10148 </w:instrText>
          </w:r>
          <w:r>
            <w:fldChar w:fldCharType="separate"/>
          </w:r>
          <w:r>
            <w:rPr>
              <w:rFonts w:hint="default"/>
              <w:lang w:val="en-US" w:eastAsia="zh-CN"/>
            </w:rPr>
            <w:t xml:space="preserve">3.1.5. </w:t>
          </w:r>
          <w:r>
            <w:rPr>
              <w:rFonts w:hint="eastAsia"/>
              <w:lang w:val="en-US" w:eastAsia="zh-CN"/>
            </w:rPr>
            <w:t>人员绩效考核计划</w:t>
          </w:r>
          <w:r>
            <w:tab/>
          </w:r>
          <w:r>
            <w:fldChar w:fldCharType="begin"/>
          </w:r>
          <w:r>
            <w:instrText xml:space="preserve"> PAGEREF _Toc10148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_Toc21117 </w:instrText>
          </w:r>
          <w:r>
            <w:fldChar w:fldCharType="separate"/>
          </w:r>
          <w:r>
            <w:rPr>
              <w:rFonts w:hint="default"/>
              <w:lang w:val="en-US" w:eastAsia="zh-CN"/>
            </w:rPr>
            <w:t xml:space="preserve">3.1.6. </w:t>
          </w:r>
          <w:r>
            <w:rPr>
              <w:rFonts w:hint="eastAsia"/>
              <w:lang w:val="en-US" w:eastAsia="zh-CN"/>
            </w:rPr>
            <w:t>人员技能评定计划</w:t>
          </w:r>
          <w:r>
            <w:tab/>
          </w:r>
          <w:r>
            <w:fldChar w:fldCharType="begin"/>
          </w:r>
          <w:r>
            <w:instrText xml:space="preserve"> PAGEREF _Toc21117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_Toc24039 </w:instrText>
          </w:r>
          <w:r>
            <w:fldChar w:fldCharType="separate"/>
          </w:r>
          <w:r>
            <w:rPr>
              <w:rFonts w:hint="default"/>
              <w:lang w:val="en-US" w:eastAsia="zh-CN"/>
            </w:rPr>
            <w:t xml:space="preserve">3.2. </w:t>
          </w:r>
          <w:r>
            <w:rPr>
              <w:rFonts w:hint="eastAsia"/>
              <w:lang w:val="en-US" w:eastAsia="zh-CN"/>
            </w:rPr>
            <w:t>资源管理规划</w:t>
          </w:r>
          <w:r>
            <w:tab/>
          </w:r>
          <w:r>
            <w:fldChar w:fldCharType="begin"/>
          </w:r>
          <w:r>
            <w:instrText xml:space="preserve"> PAGEREF _Toc24039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_Toc30644 </w:instrText>
          </w:r>
          <w:r>
            <w:fldChar w:fldCharType="separate"/>
          </w:r>
          <w:r>
            <w:rPr>
              <w:rFonts w:hint="default"/>
              <w:lang w:val="en-US" w:eastAsia="zh-CN"/>
            </w:rPr>
            <w:t>3.2.1. 运维工具管理</w:t>
          </w:r>
          <w:r>
            <w:tab/>
          </w:r>
          <w:r>
            <w:fldChar w:fldCharType="begin"/>
          </w:r>
          <w:r>
            <w:instrText xml:space="preserve"> PAGEREF _Toc30644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_Toc5728 </w:instrText>
          </w:r>
          <w:r>
            <w:fldChar w:fldCharType="separate"/>
          </w:r>
          <w:r>
            <w:rPr>
              <w:rFonts w:hint="default"/>
              <w:lang w:val="en-US" w:eastAsia="zh-CN"/>
            </w:rPr>
            <w:t>3.2.2. 服务知识管理</w:t>
          </w:r>
          <w:r>
            <w:tab/>
          </w:r>
          <w:r>
            <w:fldChar w:fldCharType="begin"/>
          </w:r>
          <w:r>
            <w:instrText xml:space="preserve"> PAGEREF _Toc5728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_Toc21911 </w:instrText>
          </w:r>
          <w:r>
            <w:fldChar w:fldCharType="separate"/>
          </w:r>
          <w:r>
            <w:rPr>
              <w:rFonts w:hint="default"/>
              <w:lang w:val="en-US" w:eastAsia="zh-CN"/>
            </w:rPr>
            <w:t>3.2.3. 服务台管理</w:t>
          </w:r>
          <w:r>
            <w:tab/>
          </w:r>
          <w:r>
            <w:fldChar w:fldCharType="begin"/>
          </w:r>
          <w:r>
            <w:instrText xml:space="preserve"> PAGEREF _Toc21911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_Toc26603 </w:instrText>
          </w:r>
          <w:r>
            <w:fldChar w:fldCharType="separate"/>
          </w:r>
          <w:r>
            <w:rPr>
              <w:rFonts w:hint="default"/>
              <w:lang w:val="en-US" w:eastAsia="zh-CN"/>
            </w:rPr>
            <w:t>3.2.4. 备件库管理</w:t>
          </w:r>
          <w:r>
            <w:tab/>
          </w:r>
          <w:r>
            <w:fldChar w:fldCharType="begin"/>
          </w:r>
          <w:r>
            <w:instrText xml:space="preserve"> PAGEREF _Toc26603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_Toc7154 </w:instrText>
          </w:r>
          <w:r>
            <w:fldChar w:fldCharType="separate"/>
          </w:r>
          <w:r>
            <w:rPr>
              <w:rFonts w:hint="default"/>
              <w:lang w:val="en-US" w:eastAsia="zh-CN"/>
            </w:rPr>
            <w:t>3.2.5. 最终软件库管理</w:t>
          </w:r>
          <w:r>
            <w:tab/>
          </w:r>
          <w:r>
            <w:fldChar w:fldCharType="begin"/>
          </w:r>
          <w:r>
            <w:instrText xml:space="preserve"> PAGEREF _Toc7154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_Toc28168 </w:instrText>
          </w:r>
          <w:r>
            <w:fldChar w:fldCharType="separate"/>
          </w:r>
          <w:r>
            <w:rPr>
              <w:rFonts w:hint="default"/>
              <w:lang w:val="en-US" w:eastAsia="zh-CN"/>
            </w:rPr>
            <w:t>3.2.6. 服务数据管理</w:t>
          </w:r>
          <w:r>
            <w:tab/>
          </w:r>
          <w:r>
            <w:fldChar w:fldCharType="begin"/>
          </w:r>
          <w:r>
            <w:instrText xml:space="preserve"> PAGEREF _Toc28168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_Toc24503 </w:instrText>
          </w:r>
          <w:r>
            <w:fldChar w:fldCharType="separate"/>
          </w:r>
          <w:r>
            <w:rPr>
              <w:rFonts w:hint="default"/>
              <w:lang w:val="en-US" w:eastAsia="zh-CN"/>
            </w:rPr>
            <w:t xml:space="preserve">3.3. </w:t>
          </w:r>
          <w:r>
            <w:rPr>
              <w:rFonts w:hint="eastAsia"/>
              <w:lang w:val="en-US" w:eastAsia="zh-CN"/>
            </w:rPr>
            <w:t>技术研发规划</w:t>
          </w:r>
          <w:r>
            <w:tab/>
          </w:r>
          <w:r>
            <w:fldChar w:fldCharType="begin"/>
          </w:r>
          <w:r>
            <w:instrText xml:space="preserve"> PAGEREF _Toc24503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_Toc31620 </w:instrText>
          </w:r>
          <w:r>
            <w:fldChar w:fldCharType="separate"/>
          </w:r>
          <w:r>
            <w:rPr>
              <w:rFonts w:hint="default"/>
              <w:lang w:val="en-US" w:eastAsia="zh-CN"/>
            </w:rPr>
            <w:t>3.3.1. 研发现状</w:t>
          </w:r>
          <w:r>
            <w:tab/>
          </w:r>
          <w:r>
            <w:fldChar w:fldCharType="begin"/>
          </w:r>
          <w:r>
            <w:instrText xml:space="preserve"> PAGEREF _Toc31620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_Toc7042 </w:instrText>
          </w:r>
          <w:r>
            <w:fldChar w:fldCharType="separate"/>
          </w:r>
          <w:r>
            <w:rPr>
              <w:rFonts w:hint="default"/>
              <w:lang w:val="en-US" w:eastAsia="zh-CN"/>
            </w:rPr>
            <w:t>3.3.2. 研发目标</w:t>
          </w:r>
          <w:r>
            <w:tab/>
          </w:r>
          <w:r>
            <w:fldChar w:fldCharType="begin"/>
          </w:r>
          <w:r>
            <w:instrText xml:space="preserve"> PAGEREF _Toc7042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_Toc20358 </w:instrText>
          </w:r>
          <w:r>
            <w:fldChar w:fldCharType="separate"/>
          </w:r>
          <w:r>
            <w:rPr>
              <w:rFonts w:hint="default"/>
              <w:lang w:val="en-US" w:eastAsia="zh-CN"/>
            </w:rPr>
            <w:t xml:space="preserve">3.3.3. </w:t>
          </w:r>
          <w:r>
            <w:rPr>
              <w:rFonts w:hint="eastAsia"/>
              <w:lang w:val="en-US" w:eastAsia="zh-CN"/>
            </w:rPr>
            <w:t>研发计划</w:t>
          </w:r>
          <w:r>
            <w:tab/>
          </w:r>
          <w:r>
            <w:fldChar w:fldCharType="begin"/>
          </w:r>
          <w:r>
            <w:instrText xml:space="preserve"> PAGEREF _Toc20358 \h </w:instrText>
          </w:r>
          <w:r>
            <w:fldChar w:fldCharType="separate"/>
          </w:r>
          <w:r>
            <w:t>17</w:t>
          </w:r>
          <w:r>
            <w:fldChar w:fldCharType="end"/>
          </w:r>
          <w:r>
            <w:fldChar w:fldCharType="end"/>
          </w:r>
        </w:p>
        <w:p>
          <w:pPr>
            <w:pStyle w:val="TOC3"/>
            <w:tabs>
              <w:tab w:val="right" w:leader="dot" w:pos="8306"/>
            </w:tabs>
          </w:pPr>
          <w:r>
            <w:fldChar w:fldCharType="begin"/>
          </w:r>
          <w:r>
            <w:instrText xml:space="preserve"> HYPERLINK \l _Toc27887 </w:instrText>
          </w:r>
          <w:r>
            <w:fldChar w:fldCharType="separate"/>
          </w:r>
          <w:r>
            <w:rPr>
              <w:rFonts w:hint="default"/>
              <w:lang w:val="en-US" w:eastAsia="zh-CN"/>
            </w:rPr>
            <w:t>3.3.4. 主要功能研发安排</w:t>
          </w:r>
          <w:r>
            <w:tab/>
          </w:r>
          <w:r>
            <w:fldChar w:fldCharType="begin"/>
          </w:r>
          <w:r>
            <w:instrText xml:space="preserve"> PAGEREF _Toc27887 \h </w:instrText>
          </w:r>
          <w:r>
            <w:fldChar w:fldCharType="separate"/>
          </w:r>
          <w:r>
            <w:t>17</w:t>
          </w:r>
          <w:r>
            <w:fldChar w:fldCharType="end"/>
          </w:r>
          <w:r>
            <w:fldChar w:fldCharType="end"/>
          </w:r>
        </w:p>
        <w:p>
          <w:pPr>
            <w:pStyle w:val="TOC2"/>
            <w:tabs>
              <w:tab w:val="right" w:leader="dot" w:pos="8306"/>
            </w:tabs>
          </w:pPr>
          <w:r>
            <w:fldChar w:fldCharType="begin"/>
          </w:r>
          <w:r>
            <w:instrText xml:space="preserve"> HYPERLINK \l _Toc18439 </w:instrText>
          </w:r>
          <w:r>
            <w:fldChar w:fldCharType="separate"/>
          </w:r>
          <w:r>
            <w:rPr>
              <w:rFonts w:hint="default"/>
              <w:lang w:val="en-US" w:eastAsia="zh-CN"/>
            </w:rPr>
            <w:t xml:space="preserve">3.4. </w:t>
          </w:r>
          <w:r>
            <w:rPr>
              <w:rFonts w:hint="eastAsia"/>
              <w:lang w:val="en-US" w:eastAsia="zh-CN"/>
            </w:rPr>
            <w:t>过程管理规划</w:t>
          </w:r>
          <w:r>
            <w:tab/>
          </w:r>
          <w:r>
            <w:fldChar w:fldCharType="begin"/>
          </w:r>
          <w:r>
            <w:instrText xml:space="preserve"> PAGEREF _Toc18439 \h </w:instrText>
          </w:r>
          <w:r>
            <w:fldChar w:fldCharType="separate"/>
          </w:r>
          <w:r>
            <w:t>18</w:t>
          </w:r>
          <w:r>
            <w:fldChar w:fldCharType="end"/>
          </w:r>
          <w:r>
            <w:fldChar w:fldCharType="end"/>
          </w:r>
        </w:p>
        <w:p>
          <w:pPr>
            <w:pStyle w:val="TOC3"/>
            <w:tabs>
              <w:tab w:val="right" w:leader="dot" w:pos="8306"/>
            </w:tabs>
          </w:pPr>
          <w:r>
            <w:fldChar w:fldCharType="begin"/>
          </w:r>
          <w:r>
            <w:instrText xml:space="preserve"> HYPERLINK \l _Toc15798 </w:instrText>
          </w:r>
          <w:r>
            <w:fldChar w:fldCharType="separate"/>
          </w:r>
          <w:r>
            <w:rPr>
              <w:rFonts w:hint="default"/>
              <w:lang w:val="en-US" w:eastAsia="zh-CN"/>
            </w:rPr>
            <w:t xml:space="preserve">3.4.1. </w:t>
          </w:r>
          <w:r>
            <w:rPr>
              <w:rFonts w:hint="eastAsia"/>
              <w:lang w:val="en-US" w:eastAsia="zh-CN"/>
            </w:rPr>
            <w:t>过程框架管理</w:t>
          </w:r>
          <w:r>
            <w:tab/>
          </w:r>
          <w:r>
            <w:fldChar w:fldCharType="begin"/>
          </w:r>
          <w:r>
            <w:instrText xml:space="preserve"> PAGEREF _Toc15798 \h </w:instrText>
          </w:r>
          <w:r>
            <w:fldChar w:fldCharType="separate"/>
          </w:r>
          <w:r>
            <w:t>18</w:t>
          </w:r>
          <w:r>
            <w:fldChar w:fldCharType="end"/>
          </w:r>
          <w:r>
            <w:fldChar w:fldCharType="end"/>
          </w:r>
        </w:p>
        <w:p>
          <w:pPr>
            <w:pStyle w:val="TOC3"/>
            <w:tabs>
              <w:tab w:val="right" w:leader="dot" w:pos="8306"/>
            </w:tabs>
          </w:pPr>
          <w:r>
            <w:fldChar w:fldCharType="begin"/>
          </w:r>
          <w:r>
            <w:instrText xml:space="preserve"> HYPERLINK \l _Toc9463 </w:instrText>
          </w:r>
          <w:r>
            <w:fldChar w:fldCharType="separate"/>
          </w:r>
          <w:r>
            <w:rPr>
              <w:rFonts w:hint="default"/>
              <w:lang w:val="en-US" w:eastAsia="zh-CN"/>
            </w:rPr>
            <w:t xml:space="preserve">3.4.2. </w:t>
          </w:r>
          <w:r>
            <w:rPr>
              <w:rFonts w:hint="eastAsia"/>
              <w:lang w:val="en-US" w:eastAsia="zh-CN"/>
            </w:rPr>
            <w:t>服务级别管理</w:t>
          </w:r>
          <w:r>
            <w:tab/>
          </w:r>
          <w:r>
            <w:fldChar w:fldCharType="begin"/>
          </w:r>
          <w:r>
            <w:instrText xml:space="preserve"> PAGEREF _Toc9463 \h </w:instrText>
          </w:r>
          <w:r>
            <w:fldChar w:fldCharType="separate"/>
          </w:r>
          <w:r>
            <w:t>19</w:t>
          </w:r>
          <w:r>
            <w:fldChar w:fldCharType="end"/>
          </w:r>
          <w:r>
            <w:fldChar w:fldCharType="end"/>
          </w:r>
        </w:p>
        <w:p>
          <w:pPr>
            <w:pStyle w:val="TOC3"/>
            <w:tabs>
              <w:tab w:val="right" w:leader="dot" w:pos="8306"/>
            </w:tabs>
          </w:pPr>
          <w:r>
            <w:fldChar w:fldCharType="begin"/>
          </w:r>
          <w:r>
            <w:instrText xml:space="preserve"> HYPERLINK \l _Toc16056 </w:instrText>
          </w:r>
          <w:r>
            <w:fldChar w:fldCharType="separate"/>
          </w:r>
          <w:r>
            <w:rPr>
              <w:rFonts w:hint="default"/>
              <w:lang w:val="en-US" w:eastAsia="zh-CN"/>
            </w:rPr>
            <w:t xml:space="preserve">3.4.3. </w:t>
          </w:r>
          <w:r>
            <w:rPr>
              <w:rFonts w:hint="eastAsia"/>
              <w:lang w:val="en-US" w:eastAsia="zh-CN"/>
            </w:rPr>
            <w:t>服务报告管理</w:t>
          </w:r>
          <w:r>
            <w:tab/>
          </w:r>
          <w:r>
            <w:fldChar w:fldCharType="begin"/>
          </w:r>
          <w:r>
            <w:instrText xml:space="preserve"> PAGEREF _Toc16056 \h </w:instrText>
          </w:r>
          <w:r>
            <w:fldChar w:fldCharType="separate"/>
          </w:r>
          <w:r>
            <w:t>19</w:t>
          </w:r>
          <w:r>
            <w:fldChar w:fldCharType="end"/>
          </w:r>
          <w:r>
            <w:fldChar w:fldCharType="end"/>
          </w:r>
        </w:p>
        <w:p>
          <w:pPr>
            <w:pStyle w:val="TOC3"/>
            <w:tabs>
              <w:tab w:val="right" w:leader="dot" w:pos="8306"/>
            </w:tabs>
          </w:pPr>
          <w:r>
            <w:fldChar w:fldCharType="begin"/>
          </w:r>
          <w:r>
            <w:instrText xml:space="preserve"> HYPERLINK \l _Toc18846 </w:instrText>
          </w:r>
          <w:r>
            <w:fldChar w:fldCharType="separate"/>
          </w:r>
          <w:r>
            <w:rPr>
              <w:rFonts w:hint="default"/>
              <w:lang w:val="en-US" w:eastAsia="zh-CN"/>
            </w:rPr>
            <w:t xml:space="preserve">3.4.4. </w:t>
          </w:r>
          <w:r>
            <w:rPr>
              <w:rFonts w:hint="eastAsia"/>
              <w:lang w:val="en-US" w:eastAsia="zh-CN"/>
            </w:rPr>
            <w:t>事件管理</w:t>
          </w:r>
          <w:r>
            <w:tab/>
          </w:r>
          <w:r>
            <w:fldChar w:fldCharType="begin"/>
          </w:r>
          <w:r>
            <w:instrText xml:space="preserve"> PAGEREF _Toc18846 \h </w:instrText>
          </w:r>
          <w:r>
            <w:fldChar w:fldCharType="separate"/>
          </w:r>
          <w:r>
            <w:t>20</w:t>
          </w:r>
          <w:r>
            <w:fldChar w:fldCharType="end"/>
          </w:r>
          <w:r>
            <w:fldChar w:fldCharType="end"/>
          </w:r>
        </w:p>
        <w:p>
          <w:pPr>
            <w:pStyle w:val="TOC3"/>
            <w:tabs>
              <w:tab w:val="right" w:leader="dot" w:pos="8306"/>
            </w:tabs>
          </w:pPr>
          <w:r>
            <w:fldChar w:fldCharType="begin"/>
          </w:r>
          <w:r>
            <w:instrText xml:space="preserve"> HYPERLINK \l _Toc3164 </w:instrText>
          </w:r>
          <w:r>
            <w:fldChar w:fldCharType="separate"/>
          </w:r>
          <w:r>
            <w:rPr>
              <w:rFonts w:hint="default"/>
              <w:lang w:val="en-US" w:eastAsia="zh-CN"/>
            </w:rPr>
            <w:t xml:space="preserve">3.4.5. </w:t>
          </w:r>
          <w:r>
            <w:rPr>
              <w:rFonts w:hint="eastAsia"/>
              <w:lang w:val="en-US" w:eastAsia="zh-CN"/>
            </w:rPr>
            <w:t>问题管理</w:t>
          </w:r>
          <w:r>
            <w:tab/>
          </w:r>
          <w:r>
            <w:fldChar w:fldCharType="begin"/>
          </w:r>
          <w:r>
            <w:instrText xml:space="preserve"> PAGEREF _Toc3164 \h </w:instrText>
          </w:r>
          <w:r>
            <w:fldChar w:fldCharType="separate"/>
          </w:r>
          <w:r>
            <w:t>20</w:t>
          </w:r>
          <w:r>
            <w:fldChar w:fldCharType="end"/>
          </w:r>
          <w:r>
            <w:fldChar w:fldCharType="end"/>
          </w:r>
        </w:p>
        <w:p>
          <w:pPr>
            <w:pStyle w:val="TOC3"/>
            <w:tabs>
              <w:tab w:val="right" w:leader="dot" w:pos="8306"/>
            </w:tabs>
          </w:pPr>
          <w:r>
            <w:fldChar w:fldCharType="begin"/>
          </w:r>
          <w:r>
            <w:instrText xml:space="preserve"> HYPERLINK \l _Toc5632 </w:instrText>
          </w:r>
          <w:r>
            <w:fldChar w:fldCharType="separate"/>
          </w:r>
          <w:r>
            <w:rPr>
              <w:rFonts w:hint="default"/>
              <w:lang w:val="en-US" w:eastAsia="zh-CN"/>
            </w:rPr>
            <w:t xml:space="preserve">3.4.6. </w:t>
          </w:r>
          <w:r>
            <w:rPr>
              <w:rFonts w:hint="eastAsia"/>
              <w:lang w:val="en-US" w:eastAsia="zh-CN"/>
            </w:rPr>
            <w:t>变更管理</w:t>
          </w:r>
          <w:r>
            <w:tab/>
          </w:r>
          <w:r>
            <w:fldChar w:fldCharType="begin"/>
          </w:r>
          <w:r>
            <w:instrText xml:space="preserve"> PAGEREF _Toc5632 \h </w:instrText>
          </w:r>
          <w:r>
            <w:fldChar w:fldCharType="separate"/>
          </w:r>
          <w:r>
            <w:t>21</w:t>
          </w:r>
          <w:r>
            <w:fldChar w:fldCharType="end"/>
          </w:r>
          <w:r>
            <w:fldChar w:fldCharType="end"/>
          </w:r>
        </w:p>
        <w:p>
          <w:pPr>
            <w:pStyle w:val="TOC3"/>
            <w:tabs>
              <w:tab w:val="right" w:leader="dot" w:pos="8306"/>
            </w:tabs>
          </w:pPr>
          <w:r>
            <w:fldChar w:fldCharType="begin"/>
          </w:r>
          <w:r>
            <w:instrText xml:space="preserve"> HYPERLINK \l _Toc20206 </w:instrText>
          </w:r>
          <w:r>
            <w:fldChar w:fldCharType="separate"/>
          </w:r>
          <w:r>
            <w:rPr>
              <w:rFonts w:hint="default"/>
              <w:lang w:val="en-US" w:eastAsia="zh-CN"/>
            </w:rPr>
            <w:t xml:space="preserve">3.4.7. </w:t>
          </w:r>
          <w:r>
            <w:rPr>
              <w:rFonts w:hint="eastAsia"/>
              <w:lang w:val="en-US" w:eastAsia="zh-CN"/>
            </w:rPr>
            <w:t>发布管理</w:t>
          </w:r>
          <w:r>
            <w:tab/>
          </w:r>
          <w:r>
            <w:fldChar w:fldCharType="begin"/>
          </w:r>
          <w:r>
            <w:instrText xml:space="preserve"> PAGEREF _Toc20206 \h </w:instrText>
          </w:r>
          <w:r>
            <w:fldChar w:fldCharType="separate"/>
          </w:r>
          <w:r>
            <w:t>21</w:t>
          </w:r>
          <w:r>
            <w:fldChar w:fldCharType="end"/>
          </w:r>
          <w:r>
            <w:fldChar w:fldCharType="end"/>
          </w:r>
        </w:p>
        <w:p>
          <w:pPr>
            <w:pStyle w:val="TOC3"/>
            <w:tabs>
              <w:tab w:val="right" w:leader="dot" w:pos="8306"/>
            </w:tabs>
          </w:pPr>
          <w:r>
            <w:fldChar w:fldCharType="begin"/>
          </w:r>
          <w:r>
            <w:instrText xml:space="preserve"> HYPERLINK \l _Toc65 </w:instrText>
          </w:r>
          <w:r>
            <w:fldChar w:fldCharType="separate"/>
          </w:r>
          <w:r>
            <w:rPr>
              <w:rFonts w:hint="default"/>
              <w:lang w:val="en-US" w:eastAsia="zh-CN"/>
            </w:rPr>
            <w:t xml:space="preserve">3.4.8. </w:t>
          </w:r>
          <w:r>
            <w:rPr>
              <w:rFonts w:hint="eastAsia"/>
              <w:lang w:val="en-US" w:eastAsia="zh-CN"/>
            </w:rPr>
            <w:t>配置管理</w:t>
          </w:r>
          <w:r>
            <w:tab/>
          </w:r>
          <w:r>
            <w:fldChar w:fldCharType="begin"/>
          </w:r>
          <w:r>
            <w:instrText xml:space="preserve"> PAGEREF _Toc65 \h </w:instrText>
          </w:r>
          <w:r>
            <w:fldChar w:fldCharType="separate"/>
          </w:r>
          <w:r>
            <w:t>22</w:t>
          </w:r>
          <w:r>
            <w:fldChar w:fldCharType="end"/>
          </w:r>
          <w:r>
            <w:fldChar w:fldCharType="end"/>
          </w:r>
        </w:p>
        <w:p>
          <w:pPr>
            <w:pStyle w:val="TOC3"/>
            <w:tabs>
              <w:tab w:val="right" w:leader="dot" w:pos="8306"/>
            </w:tabs>
          </w:pPr>
          <w:r>
            <w:fldChar w:fldCharType="begin"/>
          </w:r>
          <w:r>
            <w:instrText xml:space="preserve"> HYPERLINK \l _Toc32482 </w:instrText>
          </w:r>
          <w:r>
            <w:fldChar w:fldCharType="separate"/>
          </w:r>
          <w:r>
            <w:rPr>
              <w:rFonts w:hint="default"/>
              <w:lang w:val="en-US" w:eastAsia="zh-CN"/>
            </w:rPr>
            <w:t xml:space="preserve">3.4.9. </w:t>
          </w:r>
          <w:r>
            <w:rPr>
              <w:rFonts w:hint="eastAsia"/>
              <w:lang w:val="en-US" w:eastAsia="zh-CN"/>
            </w:rPr>
            <w:t>可用性和连续性管理</w:t>
          </w:r>
          <w:r>
            <w:tab/>
          </w:r>
          <w:r>
            <w:fldChar w:fldCharType="begin"/>
          </w:r>
          <w:r>
            <w:instrText xml:space="preserve"> PAGEREF _Toc32482 \h </w:instrText>
          </w:r>
          <w:r>
            <w:fldChar w:fldCharType="separate"/>
          </w:r>
          <w:r>
            <w:t>23</w:t>
          </w:r>
          <w:r>
            <w:fldChar w:fldCharType="end"/>
          </w:r>
          <w:r>
            <w:fldChar w:fldCharType="end"/>
          </w:r>
        </w:p>
        <w:p>
          <w:pPr>
            <w:pStyle w:val="TOC3"/>
            <w:tabs>
              <w:tab w:val="right" w:leader="dot" w:pos="8306"/>
            </w:tabs>
          </w:pPr>
          <w:r>
            <w:fldChar w:fldCharType="begin"/>
          </w:r>
          <w:r>
            <w:instrText xml:space="preserve"> HYPERLINK \l _Toc5733 </w:instrText>
          </w:r>
          <w:r>
            <w:fldChar w:fldCharType="separate"/>
          </w:r>
          <w:r>
            <w:rPr>
              <w:rFonts w:hint="default"/>
              <w:lang w:val="en-US" w:eastAsia="zh-CN"/>
            </w:rPr>
            <w:t xml:space="preserve">3.4.10. </w:t>
          </w:r>
          <w:r>
            <w:rPr>
              <w:rFonts w:hint="eastAsia"/>
              <w:lang w:val="en-US" w:eastAsia="zh-CN"/>
            </w:rPr>
            <w:t>容量管理</w:t>
          </w:r>
          <w:r>
            <w:tab/>
          </w:r>
          <w:r>
            <w:fldChar w:fldCharType="begin"/>
          </w:r>
          <w:r>
            <w:instrText xml:space="preserve"> PAGEREF _Toc5733 \h </w:instrText>
          </w:r>
          <w:r>
            <w:fldChar w:fldCharType="separate"/>
          </w:r>
          <w:r>
            <w:t>23</w:t>
          </w:r>
          <w:r>
            <w:fldChar w:fldCharType="end"/>
          </w:r>
          <w:r>
            <w:fldChar w:fldCharType="end"/>
          </w:r>
        </w:p>
        <w:p>
          <w:pPr>
            <w:pStyle w:val="TOC3"/>
            <w:tabs>
              <w:tab w:val="right" w:leader="dot" w:pos="8306"/>
            </w:tabs>
          </w:pPr>
          <w:r>
            <w:fldChar w:fldCharType="begin"/>
          </w:r>
          <w:r>
            <w:instrText xml:space="preserve"> HYPERLINK \l _Toc29724 </w:instrText>
          </w:r>
          <w:r>
            <w:fldChar w:fldCharType="separate"/>
          </w:r>
          <w:r>
            <w:rPr>
              <w:rFonts w:hint="default"/>
              <w:lang w:val="en-US" w:eastAsia="zh-CN"/>
            </w:rPr>
            <w:t xml:space="preserve">3.4.11. </w:t>
          </w:r>
          <w:r>
            <w:rPr>
              <w:rFonts w:hint="eastAsia"/>
              <w:lang w:val="en-US" w:eastAsia="zh-CN"/>
            </w:rPr>
            <w:t>信息安全管理</w:t>
          </w:r>
          <w:r>
            <w:tab/>
          </w:r>
          <w:r>
            <w:fldChar w:fldCharType="begin"/>
          </w:r>
          <w:r>
            <w:instrText xml:space="preserve"> PAGEREF _Toc29724 \h </w:instrText>
          </w:r>
          <w:r>
            <w:fldChar w:fldCharType="separate"/>
          </w:r>
          <w:r>
            <w:t>24</w:t>
          </w:r>
          <w:r>
            <w:fldChar w:fldCharType="end"/>
          </w:r>
          <w:r>
            <w:fldChar w:fldCharType="end"/>
          </w:r>
        </w:p>
        <w:p>
          <w:pPr>
            <w:pStyle w:val="TOC2"/>
            <w:tabs>
              <w:tab w:val="right" w:leader="dot" w:pos="8306"/>
            </w:tabs>
          </w:pPr>
          <w:r>
            <w:fldChar w:fldCharType="begin"/>
          </w:r>
          <w:r>
            <w:instrText xml:space="preserve"> HYPERLINK \l _Toc4834 </w:instrText>
          </w:r>
          <w:r>
            <w:fldChar w:fldCharType="separate"/>
          </w:r>
          <w:r>
            <w:rPr>
              <w:rFonts w:hint="default"/>
              <w:lang w:val="en-US" w:eastAsia="zh-CN"/>
            </w:rPr>
            <w:t xml:space="preserve">3.5. </w:t>
          </w:r>
          <w:r>
            <w:rPr>
              <w:rFonts w:hint="eastAsia"/>
              <w:lang w:val="en-US" w:eastAsia="zh-CN"/>
            </w:rPr>
            <w:t>交付管理规划</w:t>
          </w:r>
          <w:r>
            <w:tab/>
          </w:r>
          <w:r>
            <w:fldChar w:fldCharType="begin"/>
          </w:r>
          <w:r>
            <w:instrText xml:space="preserve"> PAGEREF _Toc4834 \h </w:instrText>
          </w:r>
          <w:r>
            <w:fldChar w:fldCharType="separate"/>
          </w:r>
          <w:r>
            <w:t>24</w:t>
          </w:r>
          <w:r>
            <w:fldChar w:fldCharType="end"/>
          </w:r>
          <w:r>
            <w:fldChar w:fldCharType="end"/>
          </w:r>
        </w:p>
        <w:p>
          <w:pPr>
            <w:pStyle w:val="TOC3"/>
            <w:tabs>
              <w:tab w:val="right" w:leader="dot" w:pos="8306"/>
            </w:tabs>
          </w:pPr>
          <w:r>
            <w:fldChar w:fldCharType="begin"/>
          </w:r>
          <w:r>
            <w:instrText xml:space="preserve"> HYPERLINK \l _Toc24765 </w:instrText>
          </w:r>
          <w:r>
            <w:fldChar w:fldCharType="separate"/>
          </w:r>
          <w:r>
            <w:rPr>
              <w:rFonts w:hint="default"/>
              <w:lang w:val="en-US" w:eastAsia="zh-CN"/>
            </w:rPr>
            <w:t xml:space="preserve">3.5.1. </w:t>
          </w:r>
          <w:r>
            <w:rPr>
              <w:rFonts w:hint="eastAsia"/>
              <w:lang w:val="en-US" w:eastAsia="zh-CN"/>
            </w:rPr>
            <w:t>交付策划</w:t>
          </w:r>
          <w:r>
            <w:tab/>
          </w:r>
          <w:r>
            <w:fldChar w:fldCharType="begin"/>
          </w:r>
          <w:r>
            <w:instrText xml:space="preserve"> PAGEREF _Toc24765 \h </w:instrText>
          </w:r>
          <w:r>
            <w:fldChar w:fldCharType="separate"/>
          </w:r>
          <w:r>
            <w:t>25</w:t>
          </w:r>
          <w:r>
            <w:fldChar w:fldCharType="end"/>
          </w:r>
          <w:r>
            <w:fldChar w:fldCharType="end"/>
          </w:r>
        </w:p>
        <w:p>
          <w:pPr>
            <w:pStyle w:val="TOC3"/>
            <w:tabs>
              <w:tab w:val="right" w:leader="dot" w:pos="8306"/>
            </w:tabs>
          </w:pPr>
          <w:r>
            <w:fldChar w:fldCharType="begin"/>
          </w:r>
          <w:r>
            <w:instrText xml:space="preserve"> HYPERLINK \l _Toc17111 </w:instrText>
          </w:r>
          <w:r>
            <w:fldChar w:fldCharType="separate"/>
          </w:r>
          <w:r>
            <w:rPr>
              <w:rFonts w:hint="default"/>
              <w:lang w:val="en-US" w:eastAsia="zh-CN"/>
            </w:rPr>
            <w:t xml:space="preserve">3.5.2. </w:t>
          </w:r>
          <w:r>
            <w:rPr>
              <w:rFonts w:hint="eastAsia"/>
              <w:lang w:val="en-US" w:eastAsia="zh-CN"/>
            </w:rPr>
            <w:t>交付实施</w:t>
          </w:r>
          <w:r>
            <w:tab/>
          </w:r>
          <w:r>
            <w:fldChar w:fldCharType="begin"/>
          </w:r>
          <w:r>
            <w:instrText xml:space="preserve"> PAGEREF _Toc17111 \h </w:instrText>
          </w:r>
          <w:r>
            <w:fldChar w:fldCharType="separate"/>
          </w:r>
          <w:r>
            <w:t>25</w:t>
          </w:r>
          <w:r>
            <w:fldChar w:fldCharType="end"/>
          </w:r>
          <w:r>
            <w:fldChar w:fldCharType="end"/>
          </w:r>
        </w:p>
        <w:p>
          <w:pPr>
            <w:pStyle w:val="TOC3"/>
            <w:tabs>
              <w:tab w:val="right" w:leader="dot" w:pos="8306"/>
            </w:tabs>
          </w:pPr>
          <w:r>
            <w:fldChar w:fldCharType="begin"/>
          </w:r>
          <w:r>
            <w:instrText xml:space="preserve"> HYPERLINK \l _Toc6906 </w:instrText>
          </w:r>
          <w:r>
            <w:fldChar w:fldCharType="separate"/>
          </w:r>
          <w:r>
            <w:rPr>
              <w:rFonts w:hint="default"/>
              <w:lang w:val="en-US" w:eastAsia="zh-CN"/>
            </w:rPr>
            <w:t xml:space="preserve">3.5.3. </w:t>
          </w:r>
          <w:r>
            <w:rPr>
              <w:rFonts w:hint="eastAsia"/>
              <w:lang w:val="en-US" w:eastAsia="zh-CN"/>
            </w:rPr>
            <w:t>交付检查</w:t>
          </w:r>
          <w:r>
            <w:tab/>
          </w:r>
          <w:r>
            <w:fldChar w:fldCharType="begin"/>
          </w:r>
          <w:r>
            <w:instrText xml:space="preserve"> PAGEREF _Toc6906 \h </w:instrText>
          </w:r>
          <w:r>
            <w:fldChar w:fldCharType="separate"/>
          </w:r>
          <w:r>
            <w:t>25</w:t>
          </w:r>
          <w:r>
            <w:fldChar w:fldCharType="end"/>
          </w:r>
          <w:r>
            <w:fldChar w:fldCharType="end"/>
          </w:r>
        </w:p>
        <w:p>
          <w:pPr>
            <w:pStyle w:val="TOC3"/>
            <w:tabs>
              <w:tab w:val="right" w:leader="dot" w:pos="8306"/>
            </w:tabs>
          </w:pPr>
          <w:r>
            <w:fldChar w:fldCharType="begin"/>
          </w:r>
          <w:r>
            <w:instrText xml:space="preserve"> HYPERLINK \l _Toc13032 </w:instrText>
          </w:r>
          <w:r>
            <w:fldChar w:fldCharType="separate"/>
          </w:r>
          <w:r>
            <w:rPr>
              <w:rFonts w:hint="default"/>
              <w:lang w:val="en-US" w:eastAsia="zh-CN"/>
            </w:rPr>
            <w:t xml:space="preserve">3.5.4. </w:t>
          </w:r>
          <w:r>
            <w:rPr>
              <w:rFonts w:hint="eastAsia"/>
              <w:lang w:val="en-US" w:eastAsia="zh-CN"/>
            </w:rPr>
            <w:t>交付改进</w:t>
          </w:r>
          <w:r>
            <w:tab/>
          </w:r>
          <w:r>
            <w:fldChar w:fldCharType="begin"/>
          </w:r>
          <w:r>
            <w:instrText xml:space="preserve"> PAGEREF _Toc13032 \h </w:instrText>
          </w:r>
          <w:r>
            <w:fldChar w:fldCharType="separate"/>
          </w:r>
          <w:r>
            <w:t>26</w:t>
          </w:r>
          <w:r>
            <w:fldChar w:fldCharType="end"/>
          </w:r>
          <w:r>
            <w:fldChar w:fldCharType="end"/>
          </w:r>
        </w:p>
        <w:p>
          <w:pPr>
            <w:pStyle w:val="TOC2"/>
            <w:tabs>
              <w:tab w:val="right" w:leader="dot" w:pos="8306"/>
            </w:tabs>
          </w:pPr>
          <w:r>
            <w:fldChar w:fldCharType="begin"/>
          </w:r>
          <w:r>
            <w:instrText xml:space="preserve"> HYPERLINK \l _Toc30474 </w:instrText>
          </w:r>
          <w:r>
            <w:fldChar w:fldCharType="separate"/>
          </w:r>
          <w:r>
            <w:rPr>
              <w:rFonts w:hint="default"/>
              <w:lang w:val="en-US" w:eastAsia="zh-CN"/>
            </w:rPr>
            <w:t xml:space="preserve">3.6. </w:t>
          </w:r>
          <w:r>
            <w:rPr>
              <w:rFonts w:hint="eastAsia"/>
              <w:lang w:val="en-US" w:eastAsia="zh-CN"/>
            </w:rPr>
            <w:t>应急管理规划</w:t>
          </w:r>
          <w:r>
            <w:tab/>
          </w:r>
          <w:r>
            <w:fldChar w:fldCharType="begin"/>
          </w:r>
          <w:r>
            <w:instrText xml:space="preserve"> PAGEREF _Toc30474 \h </w:instrText>
          </w:r>
          <w:r>
            <w:fldChar w:fldCharType="separate"/>
          </w:r>
          <w:r>
            <w:t>26</w:t>
          </w:r>
          <w:r>
            <w:fldChar w:fldCharType="end"/>
          </w:r>
          <w:r>
            <w:fldChar w:fldCharType="end"/>
          </w:r>
        </w:p>
        <w:p>
          <w:pPr>
            <w:pStyle w:val="TOC3"/>
            <w:tabs>
              <w:tab w:val="right" w:leader="dot" w:pos="8306"/>
            </w:tabs>
          </w:pPr>
          <w:r>
            <w:fldChar w:fldCharType="begin"/>
          </w:r>
          <w:r>
            <w:instrText xml:space="preserve"> HYPERLINK \l _Toc14 </w:instrText>
          </w:r>
          <w:r>
            <w:fldChar w:fldCharType="separate"/>
          </w:r>
          <w:r>
            <w:rPr>
              <w:rFonts w:hint="default"/>
              <w:lang w:val="en-US" w:eastAsia="zh-CN"/>
            </w:rPr>
            <w:t xml:space="preserve">3.6.1. </w:t>
          </w:r>
          <w:r>
            <w:rPr>
              <w:rFonts w:hint="eastAsia"/>
              <w:lang w:val="en-US" w:eastAsia="zh-CN"/>
            </w:rPr>
            <w:t>应急组织</w:t>
          </w:r>
          <w:r>
            <w:tab/>
          </w:r>
          <w:r>
            <w:fldChar w:fldCharType="begin"/>
          </w:r>
          <w:r>
            <w:instrText xml:space="preserve"> PAGEREF _Toc14 \h </w:instrText>
          </w:r>
          <w:r>
            <w:fldChar w:fldCharType="separate"/>
          </w:r>
          <w:r>
            <w:t>26</w:t>
          </w:r>
          <w:r>
            <w:fldChar w:fldCharType="end"/>
          </w:r>
          <w:r>
            <w:fldChar w:fldCharType="end"/>
          </w:r>
        </w:p>
        <w:p>
          <w:pPr>
            <w:pStyle w:val="TOC3"/>
            <w:tabs>
              <w:tab w:val="right" w:leader="dot" w:pos="8306"/>
            </w:tabs>
          </w:pPr>
          <w:r>
            <w:fldChar w:fldCharType="begin"/>
          </w:r>
          <w:r>
            <w:instrText xml:space="preserve"> HYPERLINK \l _Toc14644 </w:instrText>
          </w:r>
          <w:r>
            <w:fldChar w:fldCharType="separate"/>
          </w:r>
          <w:r>
            <w:rPr>
              <w:rFonts w:hint="default"/>
              <w:lang w:val="en-US" w:eastAsia="zh-CN"/>
            </w:rPr>
            <w:t xml:space="preserve">3.6.2. </w:t>
          </w:r>
          <w:r>
            <w:rPr>
              <w:rFonts w:hint="eastAsia"/>
              <w:lang w:val="en-US" w:eastAsia="zh-CN"/>
            </w:rPr>
            <w:t>应急预案</w:t>
          </w:r>
          <w:r>
            <w:tab/>
          </w:r>
          <w:r>
            <w:fldChar w:fldCharType="begin"/>
          </w:r>
          <w:r>
            <w:instrText xml:space="preserve"> PAGEREF _Toc14644 \h </w:instrText>
          </w:r>
          <w:r>
            <w:fldChar w:fldCharType="separate"/>
          </w:r>
          <w:r>
            <w:t>27</w:t>
          </w:r>
          <w:r>
            <w:fldChar w:fldCharType="end"/>
          </w:r>
          <w:r>
            <w:fldChar w:fldCharType="end"/>
          </w:r>
        </w:p>
        <w:p>
          <w:pPr>
            <w:pStyle w:val="TOC3"/>
            <w:tabs>
              <w:tab w:val="right" w:leader="dot" w:pos="8306"/>
            </w:tabs>
          </w:pPr>
          <w:r>
            <w:fldChar w:fldCharType="begin"/>
          </w:r>
          <w:r>
            <w:instrText xml:space="preserve"> HYPERLINK \l _Toc21471 </w:instrText>
          </w:r>
          <w:r>
            <w:fldChar w:fldCharType="separate"/>
          </w:r>
          <w:r>
            <w:rPr>
              <w:rFonts w:hint="default"/>
              <w:lang w:val="en-US" w:eastAsia="zh-CN"/>
            </w:rPr>
            <w:t xml:space="preserve">3.6.3. </w:t>
          </w:r>
          <w:r>
            <w:rPr>
              <w:rFonts w:hint="eastAsia"/>
              <w:lang w:val="en-US" w:eastAsia="zh-CN"/>
            </w:rPr>
            <w:t>应急响应</w:t>
          </w:r>
          <w:r>
            <w:tab/>
          </w:r>
          <w:r>
            <w:fldChar w:fldCharType="begin"/>
          </w:r>
          <w:r>
            <w:instrText xml:space="preserve"> PAGEREF _Toc21471 \h </w:instrText>
          </w:r>
          <w:r>
            <w:fldChar w:fldCharType="separate"/>
          </w:r>
          <w:r>
            <w:t>27</w:t>
          </w:r>
          <w:r>
            <w:fldChar w:fldCharType="end"/>
          </w:r>
          <w:r>
            <w:fldChar w:fldCharType="end"/>
          </w:r>
        </w:p>
        <w:p>
          <w:pPr>
            <w:pStyle w:val="TOC3"/>
            <w:tabs>
              <w:tab w:val="right" w:leader="dot" w:pos="8306"/>
            </w:tabs>
          </w:pPr>
          <w:r>
            <w:fldChar w:fldCharType="begin"/>
          </w:r>
          <w:r>
            <w:instrText xml:space="preserve"> HYPERLINK \l _Toc10614 </w:instrText>
          </w:r>
          <w:r>
            <w:fldChar w:fldCharType="separate"/>
          </w:r>
          <w:r>
            <w:rPr>
              <w:rFonts w:hint="default"/>
              <w:lang w:val="en-US" w:eastAsia="zh-CN"/>
            </w:rPr>
            <w:t xml:space="preserve">3.6.4. </w:t>
          </w:r>
          <w:r>
            <w:rPr>
              <w:rFonts w:hint="eastAsia"/>
              <w:lang w:val="en-US" w:eastAsia="zh-CN"/>
            </w:rPr>
            <w:t>应急演练</w:t>
          </w:r>
          <w:r>
            <w:tab/>
          </w:r>
          <w:r>
            <w:fldChar w:fldCharType="begin"/>
          </w:r>
          <w:r>
            <w:instrText xml:space="preserve"> PAGEREF _Toc10614 \h </w:instrText>
          </w:r>
          <w:r>
            <w:fldChar w:fldCharType="separate"/>
          </w:r>
          <w:r>
            <w:t>28</w:t>
          </w:r>
          <w:r>
            <w:fldChar w:fldCharType="end"/>
          </w:r>
          <w:r>
            <w:fldChar w:fldCharType="end"/>
          </w:r>
        </w:p>
        <w:p>
          <w:pPr>
            <w:pStyle w:val="TOC1"/>
            <w:tabs>
              <w:tab w:val="right" w:leader="dot" w:pos="8306"/>
            </w:tabs>
          </w:pPr>
          <w:r>
            <w:fldChar w:fldCharType="begin"/>
          </w:r>
          <w:r>
            <w:instrText xml:space="preserve"> HYPERLINK \l _Toc4120 </w:instrText>
          </w:r>
          <w:r>
            <w:fldChar w:fldCharType="separate"/>
          </w:r>
          <w:r>
            <w:rPr>
              <w:rFonts w:hint="default"/>
              <w:lang w:val="en-US" w:eastAsia="zh-CN"/>
            </w:rPr>
            <w:t xml:space="preserve">4. </w:t>
          </w:r>
          <w:r>
            <w:rPr>
              <w:rFonts w:hint="eastAsia"/>
              <w:lang w:val="en-US" w:eastAsia="zh-CN"/>
            </w:rPr>
            <w:t>质量管理</w:t>
          </w:r>
          <w:r>
            <w:tab/>
          </w:r>
          <w:r>
            <w:fldChar w:fldCharType="begin"/>
          </w:r>
          <w:r>
            <w:instrText xml:space="preserve"> PAGEREF _Toc4120 \h </w:instrText>
          </w:r>
          <w:r>
            <w:fldChar w:fldCharType="separate"/>
          </w:r>
          <w:r>
            <w:t>29</w:t>
          </w:r>
          <w:r>
            <w:fldChar w:fldCharType="end"/>
          </w:r>
          <w:r>
            <w:fldChar w:fldCharType="end"/>
          </w:r>
        </w:p>
        <w:p>
          <w:pPr>
            <w:pStyle w:val="TOC2"/>
            <w:tabs>
              <w:tab w:val="right" w:leader="dot" w:pos="8306"/>
            </w:tabs>
          </w:pPr>
          <w:r>
            <w:fldChar w:fldCharType="begin"/>
          </w:r>
          <w:r>
            <w:instrText xml:space="preserve"> HYPERLINK \l _Toc23917 </w:instrText>
          </w:r>
          <w:r>
            <w:fldChar w:fldCharType="separate"/>
          </w:r>
          <w:r>
            <w:rPr>
              <w:rFonts w:hint="default"/>
              <w:lang w:val="en-US" w:eastAsia="zh-CN"/>
            </w:rPr>
            <w:t xml:space="preserve">4.1. </w:t>
          </w:r>
          <w:r>
            <w:rPr>
              <w:rFonts w:hint="eastAsia"/>
              <w:lang w:val="en-US" w:eastAsia="zh-CN"/>
            </w:rPr>
            <w:t>质量管理计划</w:t>
          </w:r>
          <w:r>
            <w:tab/>
          </w:r>
          <w:r>
            <w:fldChar w:fldCharType="begin"/>
          </w:r>
          <w:r>
            <w:instrText xml:space="preserve"> PAGEREF _Toc23917 \h </w:instrText>
          </w:r>
          <w:r>
            <w:fldChar w:fldCharType="separate"/>
          </w:r>
          <w:r>
            <w:t>29</w:t>
          </w:r>
          <w:r>
            <w:fldChar w:fldCharType="end"/>
          </w:r>
          <w:r>
            <w:fldChar w:fldCharType="end"/>
          </w:r>
        </w:p>
        <w:p>
          <w:pPr>
            <w:pStyle w:val="TOC3"/>
            <w:tabs>
              <w:tab w:val="right" w:leader="dot" w:pos="8306"/>
            </w:tabs>
          </w:pPr>
          <w:r>
            <w:fldChar w:fldCharType="begin"/>
          </w:r>
          <w:r>
            <w:instrText xml:space="preserve"> HYPERLINK \l _Toc2926 </w:instrText>
          </w:r>
          <w:r>
            <w:fldChar w:fldCharType="separate"/>
          </w:r>
          <w:r>
            <w:rPr>
              <w:rFonts w:hint="default"/>
              <w:lang w:val="en-US" w:eastAsia="zh-CN"/>
            </w:rPr>
            <w:t xml:space="preserve">4.1.1. </w:t>
          </w:r>
          <w:r>
            <w:rPr>
              <w:rFonts w:hint="eastAsia"/>
              <w:lang w:val="en-US" w:eastAsia="zh-CN"/>
            </w:rPr>
            <w:t>质量管理计划制定</w:t>
          </w:r>
          <w:r>
            <w:tab/>
          </w:r>
          <w:r>
            <w:fldChar w:fldCharType="begin"/>
          </w:r>
          <w:r>
            <w:instrText xml:space="preserve"> PAGEREF _Toc2926 \h </w:instrText>
          </w:r>
          <w:r>
            <w:fldChar w:fldCharType="separate"/>
          </w:r>
          <w:r>
            <w:t>29</w:t>
          </w:r>
          <w:r>
            <w:fldChar w:fldCharType="end"/>
          </w:r>
          <w:r>
            <w:fldChar w:fldCharType="end"/>
          </w:r>
        </w:p>
        <w:p>
          <w:pPr>
            <w:pStyle w:val="TOC3"/>
            <w:tabs>
              <w:tab w:val="right" w:leader="dot" w:pos="8306"/>
            </w:tabs>
          </w:pPr>
          <w:r>
            <w:fldChar w:fldCharType="begin"/>
          </w:r>
          <w:r>
            <w:instrText xml:space="preserve"> HYPERLINK \l _Toc12892 </w:instrText>
          </w:r>
          <w:r>
            <w:fldChar w:fldCharType="separate"/>
          </w:r>
          <w:r>
            <w:rPr>
              <w:rFonts w:hint="default"/>
              <w:lang w:val="en-US" w:eastAsia="zh-CN"/>
            </w:rPr>
            <w:t xml:space="preserve">4.1.2. </w:t>
          </w:r>
          <w:r>
            <w:rPr>
              <w:rFonts w:hint="eastAsia"/>
              <w:lang w:val="en-US" w:eastAsia="zh-CN"/>
            </w:rPr>
            <w:t>质量管理计划评审</w:t>
          </w:r>
          <w:r>
            <w:tab/>
          </w:r>
          <w:r>
            <w:fldChar w:fldCharType="begin"/>
          </w:r>
          <w:r>
            <w:instrText xml:space="preserve"> PAGEREF _Toc12892 \h </w:instrText>
          </w:r>
          <w:r>
            <w:fldChar w:fldCharType="separate"/>
          </w:r>
          <w:r>
            <w:t>29</w:t>
          </w:r>
          <w:r>
            <w:fldChar w:fldCharType="end"/>
          </w:r>
          <w:r>
            <w:fldChar w:fldCharType="end"/>
          </w:r>
        </w:p>
        <w:p>
          <w:pPr>
            <w:pStyle w:val="TOC2"/>
            <w:tabs>
              <w:tab w:val="right" w:leader="dot" w:pos="8306"/>
            </w:tabs>
          </w:pPr>
          <w:r>
            <w:fldChar w:fldCharType="begin"/>
          </w:r>
          <w:r>
            <w:instrText xml:space="preserve"> HYPERLINK \l _Toc4593 </w:instrText>
          </w:r>
          <w:r>
            <w:fldChar w:fldCharType="separate"/>
          </w:r>
          <w:r>
            <w:rPr>
              <w:rFonts w:hint="default"/>
              <w:lang w:val="en-US" w:eastAsia="zh-CN"/>
            </w:rPr>
            <w:t xml:space="preserve">4.2. </w:t>
          </w:r>
          <w:r>
            <w:rPr>
              <w:rFonts w:hint="eastAsia"/>
              <w:lang w:val="en-US" w:eastAsia="zh-CN"/>
            </w:rPr>
            <w:t>运维服务质量检查</w:t>
          </w:r>
          <w:r>
            <w:tab/>
          </w:r>
          <w:r>
            <w:fldChar w:fldCharType="begin"/>
          </w:r>
          <w:r>
            <w:instrText xml:space="preserve"> PAGEREF _Toc4593 \h </w:instrText>
          </w:r>
          <w:r>
            <w:fldChar w:fldCharType="separate"/>
          </w:r>
          <w:r>
            <w:t>29</w:t>
          </w:r>
          <w:r>
            <w:fldChar w:fldCharType="end"/>
          </w:r>
          <w:r>
            <w:fldChar w:fldCharType="end"/>
          </w:r>
        </w:p>
        <w:p>
          <w:pPr>
            <w:pStyle w:val="TOC2"/>
            <w:tabs>
              <w:tab w:val="right" w:leader="dot" w:pos="8306"/>
            </w:tabs>
          </w:pPr>
          <w:r>
            <w:fldChar w:fldCharType="begin"/>
          </w:r>
          <w:r>
            <w:instrText xml:space="preserve"> HYPERLINK \l _Toc132 </w:instrText>
          </w:r>
          <w:r>
            <w:fldChar w:fldCharType="separate"/>
          </w:r>
          <w:r>
            <w:rPr>
              <w:rFonts w:hint="default"/>
              <w:lang w:val="en-US" w:eastAsia="zh-CN"/>
            </w:rPr>
            <w:t xml:space="preserve">4.3. </w:t>
          </w:r>
          <w:r>
            <w:rPr>
              <w:rFonts w:hint="eastAsia"/>
              <w:lang w:val="en-US" w:eastAsia="zh-CN"/>
            </w:rPr>
            <w:t>客户满意度调查</w:t>
          </w:r>
          <w:r>
            <w:tab/>
          </w:r>
          <w:r>
            <w:fldChar w:fldCharType="begin"/>
          </w:r>
          <w:r>
            <w:instrText xml:space="preserve"> PAGEREF _Toc132 \h </w:instrText>
          </w:r>
          <w:r>
            <w:fldChar w:fldCharType="separate"/>
          </w:r>
          <w:r>
            <w:t>30</w:t>
          </w:r>
          <w:r>
            <w:fldChar w:fldCharType="end"/>
          </w:r>
          <w:r>
            <w:fldChar w:fldCharType="end"/>
          </w:r>
        </w:p>
        <w:p>
          <w:pPr>
            <w:pStyle w:val="TOC2"/>
            <w:tabs>
              <w:tab w:val="right" w:leader="dot" w:pos="8306"/>
            </w:tabs>
          </w:pPr>
          <w:r>
            <w:fldChar w:fldCharType="begin"/>
          </w:r>
          <w:r>
            <w:instrText xml:space="preserve"> HYPERLINK \l _Toc11657 </w:instrText>
          </w:r>
          <w:r>
            <w:fldChar w:fldCharType="separate"/>
          </w:r>
          <w:r>
            <w:rPr>
              <w:rFonts w:hint="default"/>
              <w:lang w:val="en-US" w:eastAsia="zh-CN"/>
            </w:rPr>
            <w:t xml:space="preserve">4.4. </w:t>
          </w:r>
          <w:r>
            <w:rPr>
              <w:rFonts w:hint="eastAsia"/>
              <w:lang w:val="en-US" w:eastAsia="zh-CN"/>
            </w:rPr>
            <w:t>内审和管理评审</w:t>
          </w:r>
          <w:r>
            <w:tab/>
          </w:r>
          <w:r>
            <w:fldChar w:fldCharType="begin"/>
          </w:r>
          <w:r>
            <w:instrText xml:space="preserve"> PAGEREF _Toc11657 \h </w:instrText>
          </w:r>
          <w:r>
            <w:fldChar w:fldCharType="separate"/>
          </w:r>
          <w:r>
            <w:t>31</w:t>
          </w:r>
          <w:r>
            <w:fldChar w:fldCharType="end"/>
          </w:r>
          <w:r>
            <w:fldChar w:fldCharType="end"/>
          </w:r>
        </w:p>
        <w:p>
          <w:pPr>
            <w:pStyle w:val="TOC2"/>
            <w:tabs>
              <w:tab w:val="right" w:leader="dot" w:pos="8306"/>
            </w:tabs>
          </w:pPr>
          <w:r>
            <w:fldChar w:fldCharType="begin"/>
          </w:r>
          <w:r>
            <w:instrText xml:space="preserve"> HYPERLINK \l _Toc6702 </w:instrText>
          </w:r>
          <w:r>
            <w:fldChar w:fldCharType="separate"/>
          </w:r>
          <w:r>
            <w:rPr>
              <w:rFonts w:hint="default"/>
              <w:lang w:val="en-US" w:eastAsia="zh-CN"/>
            </w:rPr>
            <w:t xml:space="preserve">4.5. </w:t>
          </w:r>
          <w:r>
            <w:rPr>
              <w:rFonts w:hint="eastAsia"/>
              <w:lang w:val="en-US" w:eastAsia="zh-CN"/>
            </w:rPr>
            <w:t>改进项处理</w:t>
          </w:r>
          <w:r>
            <w:tab/>
          </w:r>
          <w:r>
            <w:fldChar w:fldCharType="begin"/>
          </w:r>
          <w:r>
            <w:instrText xml:space="preserve"> PAGEREF _Toc6702 \h </w:instrText>
          </w:r>
          <w:r>
            <w:fldChar w:fldCharType="separate"/>
          </w:r>
          <w:r>
            <w:t>31</w:t>
          </w:r>
          <w:r>
            <w:fldChar w:fldCharType="end"/>
          </w:r>
          <w:r>
            <w:fldChar w:fldCharType="end"/>
          </w:r>
        </w:p>
        <w:p>
          <w:pPr>
            <w:pStyle w:val="TOC2"/>
            <w:tabs>
              <w:tab w:val="right" w:leader="dot" w:pos="8306"/>
            </w:tabs>
          </w:pPr>
          <w:r>
            <w:fldChar w:fldCharType="begin"/>
          </w:r>
          <w:r>
            <w:instrText xml:space="preserve"> HYPERLINK \l _Toc8019 </w:instrText>
          </w:r>
          <w:r>
            <w:fldChar w:fldCharType="separate"/>
          </w:r>
          <w:r>
            <w:rPr>
              <w:rFonts w:hint="default"/>
              <w:lang w:val="en-US" w:eastAsia="zh-CN"/>
            </w:rPr>
            <w:t xml:space="preserve">4.6. </w:t>
          </w:r>
          <w:r>
            <w:rPr>
              <w:rFonts w:hint="eastAsia"/>
              <w:lang w:val="en-US" w:eastAsia="zh-CN"/>
            </w:rPr>
            <w:t>质量培训</w:t>
          </w:r>
          <w:r>
            <w:tab/>
          </w:r>
          <w:r>
            <w:fldChar w:fldCharType="begin"/>
          </w:r>
          <w:r>
            <w:instrText xml:space="preserve"> PAGEREF _Toc8019 \h </w:instrText>
          </w:r>
          <w:r>
            <w:fldChar w:fldCharType="separate"/>
          </w:r>
          <w:r>
            <w:t>32</w:t>
          </w:r>
          <w:r>
            <w:fldChar w:fldCharType="end"/>
          </w:r>
          <w:r>
            <w:fldChar w:fldCharType="end"/>
          </w:r>
        </w:p>
        <w:p>
          <w:pPr>
            <w:pStyle w:val="TOC2"/>
            <w:tabs>
              <w:tab w:val="right" w:leader="dot" w:pos="8306"/>
            </w:tabs>
          </w:pPr>
          <w:r>
            <w:fldChar w:fldCharType="begin"/>
          </w:r>
          <w:r>
            <w:instrText xml:space="preserve"> HYPERLINK \l _Toc31766 </w:instrText>
          </w:r>
          <w:r>
            <w:fldChar w:fldCharType="separate"/>
          </w:r>
          <w:r>
            <w:rPr>
              <w:rFonts w:hint="default"/>
              <w:lang w:val="en-US" w:eastAsia="zh-CN"/>
            </w:rPr>
            <w:t xml:space="preserve">4.7. </w:t>
          </w:r>
          <w:r>
            <w:rPr>
              <w:rFonts w:hint="eastAsia"/>
              <w:lang w:val="en-US" w:eastAsia="zh-CN"/>
            </w:rPr>
            <w:t>质量管理工作汇报及总结</w:t>
          </w:r>
          <w:r>
            <w:tab/>
          </w:r>
          <w:r>
            <w:fldChar w:fldCharType="begin"/>
          </w:r>
          <w:r>
            <w:instrText xml:space="preserve"> PAGEREF _Toc31766 \h </w:instrText>
          </w:r>
          <w:r>
            <w:fldChar w:fldCharType="separate"/>
          </w:r>
          <w:r>
            <w:t>33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_Toc534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2026年度人员招聘计划表</w:t>
      </w:r>
      <w:r>
        <w:tab/>
      </w:r>
      <w:r>
        <w:fldChar w:fldCharType="begin"/>
      </w:r>
      <w:r>
        <w:instrText xml:space="preserve"> PAGEREF _Toc534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_Toc19012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2026年度人员内部储备计划表</w:t>
      </w:r>
      <w:r>
        <w:tab/>
      </w:r>
      <w:r>
        <w:fldChar w:fldCharType="begin"/>
      </w:r>
      <w:r>
        <w:instrText xml:space="preserve"> PAGEREF _Toc19012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_Toc477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3 </w:t>
      </w:r>
      <w:r>
        <w:rPr>
          <w:rFonts w:hint="eastAsia"/>
          <w:lang w:val="en-US" w:eastAsia="zh-CN"/>
        </w:rPr>
        <w:t xml:space="preserve"> 2026年度人员招聘计划表</w:t>
      </w:r>
      <w:r>
        <w:tab/>
      </w:r>
      <w:r>
        <w:fldChar w:fldCharType="begin"/>
      </w:r>
      <w:r>
        <w:instrText xml:space="preserve"> PAGEREF _Toc477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_Toc29366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4 </w:t>
      </w:r>
      <w:r>
        <w:rPr>
          <w:rFonts w:hint="eastAsia"/>
          <w:lang w:val="en-US" w:eastAsia="zh-CN"/>
        </w:rPr>
        <w:t xml:space="preserve"> 2026年度人员培训预算汇总表</w:t>
      </w:r>
      <w:r>
        <w:tab/>
      </w:r>
      <w:r>
        <w:fldChar w:fldCharType="begin"/>
      </w:r>
      <w:r>
        <w:instrText xml:space="preserve"> PAGEREF _Toc29366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_Toc7435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5 </w:t>
      </w:r>
      <w:r>
        <w:rPr>
          <w:rFonts w:hint="eastAsia"/>
          <w:lang w:val="en-US" w:eastAsia="zh-CN"/>
        </w:rPr>
        <w:t xml:space="preserve"> 2026年度人员关键岗位备份计划表</w:t>
      </w:r>
      <w:r>
        <w:tab/>
      </w:r>
      <w:r>
        <w:fldChar w:fldCharType="begin"/>
      </w:r>
      <w:r>
        <w:instrText xml:space="preserve"> PAGEREF _Toc7435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_Toc18655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6 </w:t>
      </w:r>
      <w:r>
        <w:rPr>
          <w:rFonts w:hint="eastAsia"/>
          <w:lang w:val="en-US" w:eastAsia="zh-CN"/>
        </w:rPr>
        <w:t xml:space="preserve"> 2026年度人员绩效考核计划表</w:t>
      </w:r>
      <w:r>
        <w:tab/>
      </w:r>
      <w:r>
        <w:fldChar w:fldCharType="begin"/>
      </w:r>
      <w:r>
        <w:instrText xml:space="preserve"> PAGEREF _Toc18655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_Toc4944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7 </w:t>
      </w:r>
      <w:r>
        <w:rPr>
          <w:rFonts w:hint="eastAsia"/>
          <w:lang w:val="en-US" w:eastAsia="zh-CN"/>
        </w:rPr>
        <w:t xml:space="preserve"> 2026年度人员技能评定周期表</w:t>
      </w:r>
      <w:r>
        <w:tab/>
      </w:r>
      <w:r>
        <w:fldChar w:fldCharType="begin"/>
      </w:r>
      <w:r>
        <w:instrText xml:space="preserve"> PAGEREF _Toc4944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_Toc24451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8 </w:t>
      </w:r>
      <w:r>
        <w:rPr>
          <w:rFonts w:hint="eastAsia"/>
          <w:lang w:val="en-US" w:eastAsia="zh-CN"/>
        </w:rPr>
        <w:t xml:space="preserve"> 2026年度人员技能等级划分表</w:t>
      </w:r>
      <w:r>
        <w:tab/>
      </w:r>
      <w:r>
        <w:fldChar w:fldCharType="begin"/>
      </w:r>
      <w:r>
        <w:instrText xml:space="preserve"> PAGEREF _Toc24451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_Toc4130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9 </w:t>
      </w:r>
      <w:r>
        <w:rPr>
          <w:rFonts w:hint="eastAsia"/>
          <w:lang w:val="en-US" w:eastAsia="zh-CN"/>
        </w:rPr>
        <w:t xml:space="preserve"> 2026年度人员技能评定内容表</w:t>
      </w:r>
      <w:r>
        <w:tab/>
      </w:r>
      <w:r>
        <w:fldChar w:fldCharType="begin"/>
      </w:r>
      <w:r>
        <w:instrText xml:space="preserve"> PAGEREF _Toc4130 \h </w:instrText>
      </w:r>
      <w:r>
        <w:fldChar w:fldCharType="separate"/>
      </w:r>
      <w:r>
        <w:t>13</w:t>
      </w:r>
      <w:r>
        <w:fldChar w:fldCharType="end"/>
      </w:r>
      <w:r>
        <w:fldChar w:fldCharType="end"/>
      </w:r>
    </w:p>
    <w:p>
      <w:pPr>
        <w:pStyle w:val="TableofFigures"/>
        <w:tabs>
          <w:tab w:val="right" w:leader="dot" w:pos="8306"/>
        </w:tabs>
      </w:pPr>
      <w:r>
        <w:fldChar w:fldCharType="begin"/>
      </w:r>
      <w:r>
        <w:instrText xml:space="preserve"> HYPERLINK \l _Toc21879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10 </w:t>
      </w:r>
      <w:r>
        <w:rPr>
          <w:rFonts w:hint="eastAsia"/>
          <w:lang w:val="en-US" w:eastAsia="zh-CN"/>
        </w:rPr>
        <w:t xml:space="preserve"> 2026年度人员技能评定结果应用表</w:t>
      </w:r>
      <w:r>
        <w:tab/>
      </w:r>
      <w:r>
        <w:fldChar w:fldCharType="begin"/>
      </w:r>
      <w:r>
        <w:instrText xml:space="preserve"> PAGEREF _Toc21879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12"/>
      <w:r>
        <w:rPr>
          <w:rFonts w:hint="default"/>
          <w:lang w:val="en-US" w:eastAsia="zh-CN"/>
        </w:rPr>
        <w:t>公司现状分析</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华风数据(深圳)有限公司是一家多元化发展的综合性科技公司，在人工智能、软件开发、汽车服务、金融服务等领域深耕与发展。2025年，公司按照ITSS三级要求构建了运维服务能力管理体系，取得了显著成效。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4196"/>
      <w:r>
        <w:rPr>
          <w:rFonts w:hint="default"/>
          <w:lang w:val="en-US" w:eastAsia="zh-CN"/>
        </w:rPr>
        <w:t>优势分析</w:t>
      </w:r>
      <w:bookmarkEnd w:id="2"/>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组织架构完善：已建立与ITSS标准匹配的组织架构，设立运维部、研发部、产品质量部、综合部、采购部、应急管理部等职能部门</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制度体系健全：已完成人员管理、资源管理、过程管理、质量管理等核心制度共40余份文件的编制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工具支撑有力：已部署iTop运维管理平台和</w:t>
      </w:r>
      <w:r>
        <w:rPr>
          <w:rFonts w:hint="eastAsia"/>
          <w:lang w:val="en-US" w:eastAsia="zh-CN"/>
        </w:rPr>
        <w:t>华风数据</w:t>
      </w:r>
      <w:r>
        <w:rPr>
          <w:rFonts w:hint="default"/>
          <w:lang w:val="en-US" w:eastAsia="zh-CN"/>
        </w:rPr>
        <w:t>运维监控平台，2025年完成数据库监控模块研发，实现MySQL、Redis等数据库的全面监控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项目经验积累：已承接2025年国电电力湖南新能源系统运维项目等多个运维项目，积累了丰富的硬件巡检、故障处理、应急响应等实战经验</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人员能力提升：2025年高等级人员（A+B级）占比从哈哈哈哈哈%提升至75%</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服务质量达标：2025年全年服务可用性100%，客户满意度96.2分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7389"/>
      <w:r>
        <w:rPr>
          <w:rFonts w:hint="default"/>
          <w:lang w:val="en-US" w:eastAsia="zh-CN"/>
        </w:rPr>
        <w:t>待改进方面</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根据2025年度能力管理报告和各项总结，识别以下待改进方面：</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人员招聘渠道单一：运维项目经理候选人来源渠道有限，招聘周期较长</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储备人员实战经验不足：内部储备人员缺乏顶岗实习机会，实战能力有待加强</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用户操作熟练度差异：部分用户对系统熟练程度存在差异，影响业务处理效率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前端设备老化：部分门店前端设备使用年限较长，故障率有所上升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数据完整性偶有不达标：2025年第二季度数据完整性为95%，未达到99%的目标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运维自动化水平有待提升：人工巡检工作量较大，存在操作失误风险</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4037"/>
      <w:r>
        <w:rPr>
          <w:rFonts w:hint="default"/>
          <w:lang w:val="en-US" w:eastAsia="zh-CN"/>
        </w:rPr>
        <w:t>运维业务分析</w:t>
      </w:r>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5635"/>
      <w:r>
        <w:rPr>
          <w:rFonts w:hint="default"/>
          <w:lang w:val="en-US" w:eastAsia="zh-CN"/>
        </w:rPr>
        <w:t>开展运维服务的优势</w:t>
      </w:r>
      <w:bookmarkEnd w:id="5"/>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组织架构完善：已建立与ITSS标准匹配的组织架构</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制度体系健全：已完成人员管理、资源管理、过程管理等核心制度编制</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工具支撑有力：已部署iTop运维管理平台和哈哈哈哈哈运维监控平台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项目经验积累：已承接多个运维项目，积累了丰富的实战经验</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团队能力提升：2025年人员招聘、储备、培训、备份指标全部完成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0232"/>
      <w:r>
        <w:rPr>
          <w:rFonts w:hint="default"/>
          <w:lang w:val="en-US" w:eastAsia="zh-CN"/>
        </w:rPr>
        <w:t>开展运维服务的待改进方面</w:t>
      </w:r>
      <w:bookmarkEnd w:id="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5999"/>
      <w:r>
        <w:rPr>
          <w:rFonts w:hint="default"/>
          <w:lang w:val="en-US" w:eastAsia="zh-CN"/>
        </w:rPr>
        <w:t>人员管理方面</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运维项目经理招聘渠道单一，需拓展猎头等多元化渠道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储备人员实战经验不足，需加强顶岗实习和导师带教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部分用户操作熟练度存在差异，需组织进阶培训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高等级人员占比仍有提升空间，2025年为75%，2026年目标提升至80%</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7684"/>
      <w:r>
        <w:rPr>
          <w:rFonts w:hint="default"/>
          <w:lang w:val="en-US" w:eastAsia="zh-CN"/>
        </w:rPr>
        <w:t>资源管理方面</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运维工具需持续优化，自动化巡检和数据完整性校验功能有待研发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服务知识使用率和采纳率虽有提升，仍有优化空间（目标分别提升至95%和92%）</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备件库管理需持续规范，针对前端设备老化需增加备件储备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数据完整性需持续保持99%以上目标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350"/>
      <w:r>
        <w:rPr>
          <w:rFonts w:hint="default"/>
          <w:lang w:val="en-US" w:eastAsia="zh-CN"/>
        </w:rPr>
        <w:t>技术管理方面</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自动化运维能力有待提升，需研发自动化巡检工具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数据质量保障需加强，需研发数据完整性自动校验工具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智能运维能力需建设，需研发根因分析、智能诊断功能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运维工具整合优化需持续进行</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4771"/>
      <w:r>
        <w:rPr>
          <w:rFonts w:hint="default"/>
          <w:lang w:val="en-US" w:eastAsia="zh-CN"/>
        </w:rPr>
        <w:t>过程管理方面</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服务级别协议（SLA）达成情况需持续监控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过程数据统计分析需加强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服务报告的及时性和准确性需持续保持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0081"/>
      <w:r>
        <w:rPr>
          <w:rFonts w:hint="default"/>
          <w:lang w:val="en-US" w:eastAsia="zh-CN"/>
        </w:rPr>
        <w:t>年度运维服务能力计划</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为实现公司运维服务的标准化、规范化，2026年公司将按照ITSS能力成熟度模型三级的要求，持续提升运维服务能力。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334"/>
      <w:r>
        <w:rPr>
          <w:rFonts w:hint="default"/>
          <w:lang w:val="en-US" w:eastAsia="zh-CN"/>
        </w:rPr>
        <w:t>人员管理规划</w:t>
      </w:r>
      <w:bookmarkEnd w:id="1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31754"/>
      <w:r>
        <w:rPr>
          <w:rFonts w:hint="eastAsia"/>
          <w:lang w:val="en-US" w:eastAsia="zh-CN"/>
        </w:rPr>
        <w:t>人员招聘计划</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t>针对2025年问题的改进措施</w:t>
      </w:r>
      <w:r>
        <w:rPr>
          <w:rFonts w:hint="default"/>
        </w:rPr>
        <w:t>：针对2025年运维项目经理候选人来源渠道单一、招聘周期长的问题，2026年新增猎头招聘渠道，建立运维项目经理专项人才库，扩大候选人来源，提升岗位招聘效率。</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534"/>
      <w:r>
        <w:rPr>
          <w:rFonts w:hint="eastAsia"/>
          <w:lang w:val="en-US" w:eastAsia="zh-CN"/>
        </w:rPr>
        <w:t xml:space="preserve"> 2026年度人员招聘计划表</w:t>
      </w:r>
      <w:bookmarkEnd w:id="1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08"/>
        <w:gridCol w:w="947"/>
        <w:gridCol w:w="1304"/>
        <w:gridCol w:w="1422"/>
        <w:gridCol w:w="1741"/>
        <w:gridCol w:w="625"/>
        <w:gridCol w:w="625"/>
        <w:gridCol w:w="625"/>
        <w:gridCol w:w="625"/>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1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95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部门</w:t>
            </w:r>
          </w:p>
        </w:tc>
        <w:tc>
          <w:tcPr>
            <w:tcW w:w="132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岗位名称</w:t>
            </w:r>
          </w:p>
        </w:tc>
        <w:tc>
          <w:tcPr>
            <w:tcW w:w="144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计划招聘总人数</w:t>
            </w:r>
          </w:p>
        </w:tc>
        <w:tc>
          <w:tcPr>
            <w:tcW w:w="177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招聘方式</w:t>
            </w:r>
          </w:p>
        </w:tc>
        <w:tc>
          <w:tcPr>
            <w:tcW w:w="6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Q1</w:t>
            </w:r>
          </w:p>
        </w:tc>
        <w:tc>
          <w:tcPr>
            <w:tcW w:w="6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Q2</w:t>
            </w:r>
          </w:p>
        </w:tc>
        <w:tc>
          <w:tcPr>
            <w:tcW w:w="6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Q3</w:t>
            </w:r>
          </w:p>
        </w:tc>
        <w:tc>
          <w:tcPr>
            <w:tcW w:w="60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Q4</w:t>
            </w:r>
          </w:p>
        </w:tc>
      </w:tr>
      <w:tr>
        <w:tblPrEx>
          <w:tblW w:w="8522"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95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32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44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7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招聘网站/猎头/内部储备</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60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r>
      <w:tr>
        <w:tblPrEx>
          <w:tblW w:w="8522"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95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32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c>
          <w:tcPr>
            <w:tcW w:w="144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7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招聘网站</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r>
      <w:tr>
        <w:tblPrEx>
          <w:tblW w:w="8522"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95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32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c>
          <w:tcPr>
            <w:tcW w:w="144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7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招聘网站</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r>
      <w:tr>
        <w:tblPrEx>
          <w:tblW w:w="8522"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95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132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144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7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招聘网站</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r>
      <w:tr>
        <w:tblPrEx>
          <w:tblW w:w="8522"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w:t>
            </w:r>
          </w:p>
        </w:tc>
        <w:tc>
          <w:tcPr>
            <w:tcW w:w="95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c>
          <w:tcPr>
            <w:tcW w:w="132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产品质量部专员</w:t>
            </w:r>
          </w:p>
        </w:tc>
        <w:tc>
          <w:tcPr>
            <w:tcW w:w="144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7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招聘网站</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c>
          <w:tcPr>
            <w:tcW w:w="6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60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w:t>
            </w:r>
          </w:p>
        </w:tc>
      </w:tr>
      <w:tr>
        <w:tblPrEx>
          <w:tblW w:w="8522"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合计</w:t>
            </w:r>
          </w:p>
        </w:tc>
        <w:tc>
          <w:tcPr>
            <w:tcW w:w="95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p>
        </w:tc>
        <w:tc>
          <w:tcPr>
            <w:tcW w:w="132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p>
        </w:tc>
        <w:tc>
          <w:tcPr>
            <w:tcW w:w="144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5</w:t>
            </w:r>
          </w:p>
        </w:tc>
        <w:tc>
          <w:tcPr>
            <w:tcW w:w="177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p>
        </w:tc>
        <w:tc>
          <w:tcPr>
            <w:tcW w:w="6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w:t>
            </w:r>
          </w:p>
        </w:tc>
        <w:tc>
          <w:tcPr>
            <w:tcW w:w="6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w:t>
            </w:r>
          </w:p>
        </w:tc>
        <w:tc>
          <w:tcPr>
            <w:tcW w:w="6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w:t>
            </w:r>
          </w:p>
        </w:tc>
        <w:tc>
          <w:tcPr>
            <w:tcW w:w="60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KPI指标：人员招聘计划达成率 ≥80%（季度）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4836"/>
      <w:r>
        <w:rPr>
          <w:rFonts w:hint="eastAsia"/>
          <w:lang w:val="en-US" w:eastAsia="zh-CN"/>
        </w:rPr>
        <w:t>人员储备计划</w:t>
      </w:r>
      <w:bookmarkEnd w:id="15"/>
    </w:p>
    <w:p>
      <w:pPr>
        <w:pStyle w:val="a1"/>
        <w:rPr>
          <w:rFonts w:hint="eastAsia"/>
          <w:lang w:val="en-US" w:eastAsia="zh-CN"/>
        </w:rPr>
      </w:pPr>
      <w:r>
        <w:rPr>
          <w:rFonts w:hint="eastAsia"/>
          <w:lang w:val="en-US" w:eastAsia="zh-CN"/>
        </w:rPr>
        <w:t>针对2025年问题的改进措施：针对2025年储备人员实战经验不足的问题，2026年将加强以下培养措施：</w:t>
      </w:r>
    </w:p>
    <w:p>
      <w:pPr>
        <w:pStyle w:val="a1"/>
        <w:numPr>
          <w:ilvl w:val="0"/>
          <w:numId w:val="5"/>
        </w:numPr>
        <w:ind w:left="425" w:hanging="425" w:leftChars="0" w:firstLineChars="0"/>
        <w:rPr>
          <w:rFonts w:hint="eastAsia"/>
          <w:lang w:val="en-US" w:eastAsia="zh-CN"/>
        </w:rPr>
      </w:pPr>
      <w:r>
        <w:rPr>
          <w:rFonts w:hint="eastAsia"/>
          <w:lang w:val="en-US" w:eastAsia="zh-CN"/>
        </w:rPr>
        <w:t>顶岗实习：每季度至少安排储备人员顶岗实习2天，在A角指导下实际承担储备岗位的部分工作</w:t>
      </w:r>
    </w:p>
    <w:p>
      <w:pPr>
        <w:pStyle w:val="a1"/>
        <w:numPr>
          <w:ilvl w:val="0"/>
          <w:numId w:val="5"/>
        </w:numPr>
        <w:ind w:left="425" w:hanging="425" w:leftChars="0" w:firstLineChars="0"/>
        <w:rPr>
          <w:rFonts w:hint="eastAsia"/>
          <w:lang w:val="en-US" w:eastAsia="zh-CN"/>
        </w:rPr>
      </w:pPr>
      <w:r>
        <w:rPr>
          <w:rFonts w:hint="eastAsia"/>
          <w:lang w:val="en-US" w:eastAsia="zh-CN"/>
        </w:rPr>
        <w:t>导师带教：建立导师带教机制，由经验丰富的在岗人员对储备人员进行一对一指导</w:t>
      </w:r>
    </w:p>
    <w:p>
      <w:pPr>
        <w:pStyle w:val="a1"/>
        <w:numPr>
          <w:ilvl w:val="0"/>
          <w:numId w:val="5"/>
        </w:numPr>
        <w:ind w:left="425" w:hanging="425" w:leftChars="0" w:firstLineChars="0"/>
        <w:rPr>
          <w:rFonts w:hint="eastAsia"/>
          <w:lang w:val="en-US" w:eastAsia="zh-CN"/>
        </w:rPr>
      </w:pPr>
      <w:r>
        <w:rPr>
          <w:rFonts w:hint="eastAsia"/>
          <w:lang w:val="en-US" w:eastAsia="zh-CN"/>
        </w:rPr>
        <w:t>实战演练：组织储备人员参与应急演练和重大故障处理，积累实战经验</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19012"/>
      <w:r>
        <w:rPr>
          <w:rFonts w:hint="eastAsia"/>
          <w:lang w:val="en-US" w:eastAsia="zh-CN"/>
        </w:rPr>
        <w:t xml:space="preserve"> 2026年度人员内部储备计划表</w:t>
      </w:r>
      <w:bookmarkEnd w:id="16"/>
    </w:p>
    <w:tbl>
      <w:tblPr>
        <w:tblStyle w:val="TableNormal"/>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39"/>
        <w:gridCol w:w="1696"/>
        <w:gridCol w:w="1905"/>
        <w:gridCol w:w="1278"/>
        <w:gridCol w:w="1696"/>
        <w:gridCol w:w="1279"/>
      </w:tblGrid>
      <w:tr>
        <w:tblPrEx>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储备岗位</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储备方式</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储备目标人数</w:t>
            </w:r>
          </w:p>
        </w:tc>
        <w:tc>
          <w:tcPr>
            <w:tcW w:w="127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储备来源</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内部培养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1人</w:t>
            </w:r>
          </w:p>
        </w:tc>
        <w:tc>
          <w:tcPr>
            <w:tcW w:w="127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内部选拔</w:t>
            </w:r>
          </w:p>
        </w:tc>
      </w:tr>
      <w:tr>
        <w:tblPrEx>
          <w:tblW w:w="8493" w:type="dxa"/>
          <w:jc w:val="center"/>
          <w:shd w:val="clear" w:color="auto" w:fill="auto"/>
          <w:tblCellMar>
            <w:top w:w="15" w:type="dxa"/>
            <w:left w:w="15" w:type="dxa"/>
            <w:bottom w:w="15" w:type="dxa"/>
            <w:right w:w="15" w:type="dxa"/>
          </w:tblCellMar>
        </w:tblPrEx>
        <w:trPr>
          <w:trHeight w:val="0"/>
          <w:jc w:val="center"/>
        </w:trPr>
        <w:tc>
          <w:tcPr>
            <w:tcW w:w="63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169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2026年12月</w:t>
            </w:r>
          </w:p>
        </w:tc>
        <w:tc>
          <w:tcPr>
            <w:tcW w:w="190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127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内部培养</w:t>
            </w:r>
          </w:p>
        </w:tc>
        <w:tc>
          <w:tcPr>
            <w:tcW w:w="169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1人</w:t>
            </w:r>
          </w:p>
        </w:tc>
        <w:tc>
          <w:tcPr>
            <w:tcW w:w="127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内部选拔</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lang w:val="en-US" w:eastAsia="zh-CN"/>
        </w:rPr>
        <w:t>KPI指标：人员储备计划达成率≥ 80%</w:t>
      </w:r>
      <w:r>
        <w:rPr>
          <w:rFonts w:hint="default"/>
          <w:lang w:val="en-US" w:eastAsia="zh-CN"/>
        </w:rPr>
        <w:t>（季度）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7237"/>
      <w:r>
        <w:rPr>
          <w:rFonts w:hint="eastAsia"/>
          <w:lang w:val="en-US" w:eastAsia="zh-CN"/>
        </w:rPr>
        <w:t>人员培训计划</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rPr>
        <w:t>本年度培训在延续管理、技术、操作三个维度的基础上，重点强化了自动化运维、数据质量保障、进阶故障处理等方向，以支撑公司2026年研发规划和业务发展需求。培训的组织实施与效果评估由综合部统筹，产品质量部负责监督，各部门协同配合，共同确保培训工作的有效落地。所有培训记录、课件及相关资料由综合部统一汇总归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eastAsia"/>
          <w:i w:val="0"/>
          <w:iCs w:val="0"/>
          <w:caps w:val="0"/>
          <w:color w:val="0F1115"/>
          <w:spacing w:val="0"/>
          <w:sz w:val="24"/>
          <w:szCs w:val="24"/>
          <w:shd w:val="clear" w:color="auto" w:fill="FFFFFF"/>
          <w:lang w:val="en-US" w:eastAsia="zh-CN"/>
        </w:rPr>
        <w:sectPr>
          <w:pgSz w:w="11906" w:h="16838"/>
          <w:pgMar w:top="1440" w:right="1800" w:bottom="1440" w:left="1800" w:header="851" w:footer="992" w:gutter="0"/>
          <w:cols w:num="1" w:space="425"/>
          <w:docGrid w:type="lines" w:linePitch="312" w:charSpace="0"/>
        </w:sectPr>
      </w:pP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8" w:name="_Toc477"/>
      <w:r>
        <w:rPr>
          <w:rFonts w:hint="eastAsia"/>
          <w:lang w:val="en-US" w:eastAsia="zh-CN"/>
        </w:rPr>
        <w:t xml:space="preserve"> 2026年度人员招聘计划表</w:t>
      </w:r>
      <w:bookmarkEnd w:id="18"/>
    </w:p>
    <w:tbl>
      <w:tblPr>
        <w:tblStyle w:val="TableNormal"/>
        <w:tblW w:w="14174"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29"/>
        <w:gridCol w:w="782"/>
        <w:gridCol w:w="2296"/>
        <w:gridCol w:w="1161"/>
        <w:gridCol w:w="1538"/>
        <w:gridCol w:w="1348"/>
        <w:gridCol w:w="1161"/>
        <w:gridCol w:w="1393"/>
        <w:gridCol w:w="1163"/>
        <w:gridCol w:w="1350"/>
        <w:gridCol w:w="1353"/>
      </w:tblGrid>
      <w:tr>
        <w:tblPrEx>
          <w:tblW w:w="14174"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29"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类型</w:t>
            </w:r>
          </w:p>
        </w:tc>
        <w:tc>
          <w:tcPr>
            <w:tcW w:w="78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序号</w:t>
            </w:r>
          </w:p>
        </w:tc>
        <w:tc>
          <w:tcPr>
            <w:tcW w:w="229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培训内容</w:t>
            </w:r>
          </w:p>
        </w:tc>
        <w:tc>
          <w:tcPr>
            <w:tcW w:w="116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培训时长</w:t>
            </w:r>
          </w:p>
        </w:tc>
        <w:tc>
          <w:tcPr>
            <w:tcW w:w="153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培训对象</w:t>
            </w:r>
          </w:p>
        </w:tc>
        <w:tc>
          <w:tcPr>
            <w:tcW w:w="134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培训老师</w:t>
            </w:r>
          </w:p>
        </w:tc>
        <w:tc>
          <w:tcPr>
            <w:tcW w:w="116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培训方式</w:t>
            </w:r>
          </w:p>
        </w:tc>
        <w:tc>
          <w:tcPr>
            <w:tcW w:w="139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计划时间</w:t>
            </w:r>
          </w:p>
        </w:tc>
        <w:tc>
          <w:tcPr>
            <w:tcW w:w="116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考核方式</w:t>
            </w:r>
          </w:p>
        </w:tc>
        <w:tc>
          <w:tcPr>
            <w:tcW w:w="134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负责部门</w:t>
            </w:r>
          </w:p>
        </w:tc>
        <w:tc>
          <w:tcPr>
            <w:tcW w:w="13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Fonts w:ascii="Segoe UI" w:eastAsia="Segoe UI" w:hAnsi="Segoe UI" w:cs="Segoe UI" w:hint="default"/>
                <w:b/>
                <w:i w:val="0"/>
                <w:iCs w:val="0"/>
                <w:caps w:val="0"/>
                <w:snapToGrid w:val="0"/>
                <w:color w:val="000000"/>
                <w:spacing w:val="0"/>
                <w:kern w:val="0"/>
                <w:sz w:val="13"/>
                <w:szCs w:val="13"/>
                <w:lang w:val="en-US" w:eastAsia="zh-CN"/>
              </w:rPr>
              <w:t>预算（元）</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新员工入职培训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2.5h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入职新员工</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黄剑锋</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入职一周内</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口头提问</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综合部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ITSS运维体系培训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4h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部门经理</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外部专家</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2026年1月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现场交流</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4000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质量管理培训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部门经理</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熊振翔</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2026年2月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现场交流</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产品质量部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1200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技术</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4</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数据库监控工具培训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运维工程师</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黄正宇</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2026年3月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实操考核</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研发部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技术</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5</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自动化运维培训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4h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运维工程师</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外部专家</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2026年4月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心得总结</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研发部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3000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技术</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6</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安全加固与漏洞管理</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运维相关人员</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外部专家</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2026年5月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现场交流</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技术</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7</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进阶故障处理培训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运维工程师</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姚耿桂</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2026年6月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案例答辩</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1200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技术</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8</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性能优化培训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运维工程师</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黄正宇</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2026年7月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现场交流</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研发部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操作</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9</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服务台进阶培训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服务台专员</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姚耿桂</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2026年8月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口头提问</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10</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服务知识管理培训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运维相关人员</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黄正宇</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2026年9月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口头提问</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研发部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11</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信息安全风险培训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3h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运维相关人员</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外部专家</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外训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2026年10月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现场交流</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4800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操作</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12</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备件管理制度培训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1.5h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备件管理人员</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刘文桂</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2026年11月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口头提问</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综合部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13</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数据管理与完整性培训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运维相关人员</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产品质量部经理</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w:t>
            </w:r>
            <w:r>
              <w:rPr>
                <w:rFonts w:ascii="Segoe UI" w:eastAsia="Segoe UI" w:hAnsi="Segoe UI" w:cs="Segoe UI" w:hint="eastAsia"/>
                <w:i w:val="0"/>
                <w:iCs w:val="0"/>
                <w:caps w:val="0"/>
                <w:snapToGrid w:val="0"/>
                <w:color w:val="000000"/>
                <w:spacing w:val="0"/>
                <w:kern w:val="0"/>
                <w:sz w:val="13"/>
                <w:szCs w:val="13"/>
                <w:lang w:val="en-US" w:eastAsia="zh-CN"/>
              </w:rPr>
              <w:t>11</w:t>
            </w:r>
            <w:bookmarkStart w:id="19" w:name="_GoBack"/>
            <w:bookmarkEnd w:id="19"/>
            <w:r>
              <w:rPr>
                <w:rFonts w:ascii="Segoe UI" w:eastAsia="Segoe UI" w:hAnsi="Segoe UI" w:cs="Segoe UI" w:hint="default"/>
                <w:i w:val="0"/>
                <w:iCs w:val="0"/>
                <w:caps w:val="0"/>
                <w:snapToGrid w:val="0"/>
                <w:color w:val="000000"/>
                <w:spacing w:val="0"/>
                <w:kern w:val="0"/>
                <w:sz w:val="13"/>
                <w:szCs w:val="13"/>
                <w:lang w:val="en-US" w:eastAsia="zh-CN"/>
              </w:rPr>
              <w:t>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笔试</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产品质量部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管理</w:t>
            </w:r>
          </w:p>
        </w:tc>
        <w:tc>
          <w:tcPr>
            <w:tcW w:w="78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14</w:t>
            </w:r>
          </w:p>
        </w:tc>
        <w:tc>
          <w:tcPr>
            <w:tcW w:w="229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年度技能评定培训</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2h</w:t>
            </w:r>
          </w:p>
        </w:tc>
        <w:tc>
          <w:tcPr>
            <w:tcW w:w="15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全体员工</w:t>
            </w:r>
          </w:p>
        </w:tc>
        <w:tc>
          <w:tcPr>
            <w:tcW w:w="134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产品质量部经理</w:t>
            </w:r>
          </w:p>
        </w:tc>
        <w:tc>
          <w:tcPr>
            <w:tcW w:w="11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内训</w:t>
            </w:r>
          </w:p>
        </w:tc>
        <w:tc>
          <w:tcPr>
            <w:tcW w:w="139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2026年12月</w:t>
            </w:r>
          </w:p>
        </w:tc>
        <w:tc>
          <w:tcPr>
            <w:tcW w:w="11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笔试</w:t>
            </w:r>
          </w:p>
        </w:tc>
        <w:tc>
          <w:tcPr>
            <w:tcW w:w="13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产品质量部</w:t>
            </w:r>
          </w:p>
        </w:tc>
        <w:tc>
          <w:tcPr>
            <w:tcW w:w="13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3"/>
                <w:szCs w:val="13"/>
              </w:rPr>
            </w:pPr>
            <w:r>
              <w:rPr>
                <w:rFonts w:ascii="Segoe UI" w:eastAsia="Segoe UI" w:hAnsi="Segoe UI" w:cs="Segoe UI" w:hint="default"/>
                <w:i w:val="0"/>
                <w:iCs w:val="0"/>
                <w:caps w:val="0"/>
                <w:snapToGrid w:val="0"/>
                <w:color w:val="000000"/>
                <w:spacing w:val="0"/>
                <w:kern w:val="0"/>
                <w:sz w:val="13"/>
                <w:szCs w:val="13"/>
                <w:lang w:val="en-US" w:eastAsia="zh-CN"/>
              </w:rPr>
              <w:t>1000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6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r>
              <w:rPr>
                <w:rStyle w:val="Strong"/>
                <w:rFonts w:ascii="Segoe UI" w:eastAsia="Segoe UI" w:hAnsi="Segoe UI" w:cs="Segoe UI" w:hint="default"/>
                <w:b/>
                <w:bCs/>
                <w:i w:val="0"/>
                <w:iCs w:val="0"/>
                <w:caps w:val="0"/>
                <w:snapToGrid w:val="0"/>
                <w:color w:val="000000"/>
                <w:spacing w:val="0"/>
                <w:kern w:val="0"/>
                <w:sz w:val="13"/>
                <w:szCs w:val="13"/>
                <w:lang w:val="en-US" w:eastAsia="zh-CN"/>
              </w:rPr>
              <w:t>合计</w:t>
            </w:r>
          </w:p>
        </w:tc>
        <w:tc>
          <w:tcPr>
            <w:tcW w:w="78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p>
        </w:tc>
        <w:tc>
          <w:tcPr>
            <w:tcW w:w="229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p>
        </w:tc>
        <w:tc>
          <w:tcPr>
            <w:tcW w:w="116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Segoe UI" w:eastAsia="Segoe UI" w:hAnsi="Segoe UI" w:cs="Segoe UI" w:hint="default"/>
                <w:b/>
                <w:i w:val="0"/>
                <w:iCs w:val="0"/>
                <w:caps w:val="0"/>
                <w:color w:val="0F1115"/>
                <w:spacing w:val="0"/>
                <w:sz w:val="13"/>
                <w:szCs w:val="13"/>
              </w:rPr>
            </w:pPr>
          </w:p>
        </w:tc>
        <w:tc>
          <w:tcPr>
            <w:tcW w:w="153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Segoe UI" w:eastAsia="Segoe UI" w:hAnsi="Segoe UI" w:cs="Segoe UI" w:hint="default"/>
                <w:b/>
                <w:i w:val="0"/>
                <w:iCs w:val="0"/>
                <w:caps w:val="0"/>
                <w:color w:val="0F1115"/>
                <w:spacing w:val="0"/>
                <w:sz w:val="13"/>
                <w:szCs w:val="13"/>
              </w:rPr>
            </w:pPr>
          </w:p>
        </w:tc>
        <w:tc>
          <w:tcPr>
            <w:tcW w:w="134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p>
        </w:tc>
        <w:tc>
          <w:tcPr>
            <w:tcW w:w="116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Segoe UI" w:eastAsia="Segoe UI" w:hAnsi="Segoe UI" w:cs="Segoe UI" w:hint="default"/>
                <w:b/>
                <w:i w:val="0"/>
                <w:iCs w:val="0"/>
                <w:caps w:val="0"/>
                <w:color w:val="0F1115"/>
                <w:spacing w:val="0"/>
                <w:sz w:val="13"/>
                <w:szCs w:val="13"/>
              </w:rPr>
            </w:pPr>
          </w:p>
        </w:tc>
        <w:tc>
          <w:tcPr>
            <w:tcW w:w="139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p>
        </w:tc>
        <w:tc>
          <w:tcPr>
            <w:tcW w:w="116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3"/>
                <w:szCs w:val="13"/>
              </w:rPr>
            </w:pPr>
          </w:p>
        </w:tc>
        <w:tc>
          <w:tcPr>
            <w:tcW w:w="134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Segoe UI" w:eastAsia="Segoe UI" w:hAnsi="Segoe UI" w:cs="Segoe UI" w:hint="default"/>
                <w:b/>
                <w:i w:val="0"/>
                <w:iCs w:val="0"/>
                <w:caps w:val="0"/>
                <w:color w:val="0F1115"/>
                <w:spacing w:val="0"/>
                <w:sz w:val="13"/>
                <w:szCs w:val="13"/>
              </w:rPr>
            </w:pPr>
          </w:p>
        </w:tc>
        <w:tc>
          <w:tcPr>
            <w:tcW w:w="13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b/>
                <w:i w:val="0"/>
                <w:iCs w:val="0"/>
                <w:caps w:val="0"/>
                <w:color w:val="0F1115"/>
                <w:spacing w:val="0"/>
                <w:sz w:val="13"/>
                <w:szCs w:val="13"/>
              </w:rPr>
            </w:pPr>
            <w:r>
              <w:rPr>
                <w:rStyle w:val="Strong"/>
                <w:rFonts w:ascii="Segoe UI" w:eastAsia="Segoe UI" w:hAnsi="Segoe UI" w:cs="Segoe UI" w:hint="default"/>
                <w:b/>
                <w:bCs/>
                <w:i w:val="0"/>
                <w:iCs w:val="0"/>
                <w:caps w:val="0"/>
                <w:snapToGrid w:val="0"/>
                <w:color w:val="000000"/>
                <w:spacing w:val="0"/>
                <w:kern w:val="0"/>
                <w:sz w:val="13"/>
                <w:szCs w:val="13"/>
                <w:lang w:val="en-US" w:eastAsia="zh-CN"/>
              </w:rPr>
              <w:t>22100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eastAsia"/>
          <w:i w:val="0"/>
          <w:iCs w:val="0"/>
          <w:caps w:val="0"/>
          <w:color w:val="0F1115"/>
          <w:spacing w:val="0"/>
          <w:sz w:val="24"/>
          <w:szCs w:val="24"/>
          <w:shd w:val="clear" w:color="auto" w:fill="FFFFFF"/>
          <w:lang w:val="en-US" w:eastAsia="zh-CN"/>
        </w:rPr>
        <w:sectPr>
          <w:pgSz w:w="16838" w:h="11906" w:orient="landscape"/>
          <w:pgMar w:top="1800" w:right="1440" w:bottom="1800" w:left="1440" w:header="851" w:footer="992" w:gutter="0"/>
          <w:cols w:num="1" w:space="425"/>
          <w:docGrid w:type="lines" w:linePitch="312" w:charSpace="0"/>
        </w:sectPr>
      </w:pPr>
      <w:r>
        <w:rPr>
          <w:rFonts w:ascii="Segoe UI" w:eastAsia="Segoe UI" w:hAnsi="Segoe UI" w:cs="Segoe UI" w:hint="eastAsia"/>
          <w:i w:val="0"/>
          <w:iCs w:val="0"/>
          <w:caps w:val="0"/>
          <w:color w:val="0F1115"/>
          <w:spacing w:val="0"/>
          <w:sz w:val="24"/>
          <w:szCs w:val="24"/>
          <w:shd w:val="clear" w:color="auto" w:fill="FFFFFF"/>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0" w:name="_Toc29366"/>
      <w:r>
        <w:rPr>
          <w:rFonts w:hint="eastAsia"/>
          <w:lang w:val="en-US" w:eastAsia="zh-CN"/>
        </w:rPr>
        <w:t xml:space="preserve"> 2026年度人员培训预算汇总表</w:t>
      </w:r>
      <w:bookmarkEnd w:id="2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39"/>
        <w:gridCol w:w="2321"/>
        <w:gridCol w:w="466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3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部门</w:t>
            </w:r>
          </w:p>
        </w:tc>
        <w:tc>
          <w:tcPr>
            <w:tcW w:w="232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预算金额（元）</w:t>
            </w:r>
          </w:p>
        </w:tc>
        <w:tc>
          <w:tcPr>
            <w:tcW w:w="466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3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23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11600</w:t>
            </w:r>
          </w:p>
        </w:tc>
        <w:tc>
          <w:tcPr>
            <w:tcW w:w="466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内训+外训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3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p>
        </w:tc>
        <w:tc>
          <w:tcPr>
            <w:tcW w:w="23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5100</w:t>
            </w:r>
          </w:p>
        </w:tc>
        <w:tc>
          <w:tcPr>
            <w:tcW w:w="466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3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3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3000</w:t>
            </w:r>
          </w:p>
        </w:tc>
        <w:tc>
          <w:tcPr>
            <w:tcW w:w="466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质量管理培训+数据管理培训+技能评定</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3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c>
          <w:tcPr>
            <w:tcW w:w="23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2400</w:t>
            </w:r>
          </w:p>
        </w:tc>
        <w:tc>
          <w:tcPr>
            <w:tcW w:w="466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新员工入职培训、备件管理培训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3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总计</w:t>
            </w:r>
          </w:p>
        </w:tc>
        <w:tc>
          <w:tcPr>
            <w:tcW w:w="232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22100</w:t>
            </w:r>
          </w:p>
        </w:tc>
        <w:tc>
          <w:tcPr>
            <w:tcW w:w="4663"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snapToGrid w:val="0"/>
              <w:ind w:left="0" w:right="0" w:firstLine="0" w:leftChars="0" w:rightChars="0" w:firstLineChars="0"/>
              <w:jc w:val="right"/>
              <w:rPr>
                <w:rFonts w:ascii="Segoe UI" w:eastAsia="Segoe UI" w:hAnsi="Segoe UI" w:cs="Segoe UI" w:hint="eastAsia"/>
                <w:b/>
                <w:i w:val="0"/>
                <w:iCs w:val="0"/>
                <w:caps w:val="0"/>
                <w:color w:val="0F1115"/>
                <w:spacing w:val="0"/>
                <w:sz w:val="24"/>
                <w:szCs w:val="24"/>
              </w:rPr>
            </w:pPr>
          </w:p>
        </w:tc>
      </w:tr>
    </w:tbl>
    <w:p>
      <w:pPr>
        <w:pStyle w:val="a1"/>
        <w:keepNext w:val="0"/>
        <w:keepLines w:val="0"/>
        <w:pageBreakBefore w:val="0"/>
        <w:widowControl w:val="0"/>
        <w:kinsoku w:val="0"/>
        <w:wordWrap/>
        <w:overflowPunct/>
        <w:topLinePunct w:val="0"/>
        <w:autoSpaceDE w:val="0"/>
        <w:autoSpaceDN w:val="0"/>
        <w:bidi w:val="0"/>
        <w:adjustRightInd w:val="0"/>
        <w:snapToGrid w:val="0"/>
        <w:jc w:val="left"/>
        <w:textAlignment w:val="baseline"/>
        <w:rPr>
          <w:rFonts w:hint="eastAsia"/>
          <w:lang w:val="en-US" w:eastAsia="zh-CN"/>
        </w:rPr>
      </w:pPr>
      <w:r>
        <w:rPr>
          <w:rFonts w:hint="eastAsia"/>
          <w:lang w:val="en-US" w:eastAsia="zh-CN"/>
        </w:rPr>
        <w:t>KPI指标：人员培训计划达成率 ≥90%（季度）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30225"/>
      <w:r>
        <w:rPr>
          <w:rFonts w:hint="eastAsia"/>
          <w:lang w:val="en-US" w:eastAsia="zh-CN"/>
        </w:rPr>
        <w:t>人员备份计划</w:t>
      </w:r>
      <w:bookmarkEnd w:id="2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Style w:val="Char"/>
          <w:rFonts w:hint="eastAsia"/>
        </w:rPr>
      </w:pPr>
      <w:r>
        <w:rPr>
          <w:rStyle w:val="Char"/>
          <w:rFonts w:hint="eastAsia"/>
        </w:rPr>
        <w:t>针对2025年问题的改进措施：备份计划完成时间更加集中在上半年（6月前全部完成），比2025年（10月完成）更加紧凑，确保备份机制尽早建立并运行。</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2" w:name="_Toc7435"/>
      <w:r>
        <w:rPr>
          <w:rFonts w:hint="eastAsia"/>
          <w:lang w:val="en-US" w:eastAsia="zh-CN"/>
        </w:rPr>
        <w:t xml:space="preserve"> 2026年度人员关键岗位备份计划表</w:t>
      </w:r>
      <w:bookmarkEnd w:id="2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7"/>
        <w:gridCol w:w="2031"/>
        <w:gridCol w:w="1808"/>
        <w:gridCol w:w="1501"/>
        <w:gridCol w:w="1815"/>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67"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部门</w:t>
            </w:r>
          </w:p>
        </w:tc>
        <w:tc>
          <w:tcPr>
            <w:tcW w:w="203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A岗位</w:t>
            </w:r>
          </w:p>
        </w:tc>
        <w:tc>
          <w:tcPr>
            <w:tcW w:w="180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B岗</w:t>
            </w:r>
          </w:p>
        </w:tc>
        <w:tc>
          <w:tcPr>
            <w:tcW w:w="150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备份要求</w:t>
            </w:r>
          </w:p>
        </w:tc>
        <w:tc>
          <w:tcPr>
            <w:tcW w:w="1815"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计划完成时间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203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c>
          <w:tcPr>
            <w:tcW w:w="180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运维项目经理</w:t>
            </w:r>
          </w:p>
        </w:tc>
        <w:tc>
          <w:tcPr>
            <w:tcW w:w="150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5"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2026年3月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p>
        </w:tc>
        <w:tc>
          <w:tcPr>
            <w:tcW w:w="203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c>
          <w:tcPr>
            <w:tcW w:w="180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w:t>
            </w:r>
          </w:p>
        </w:tc>
        <w:tc>
          <w:tcPr>
            <w:tcW w:w="150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5"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2026年4月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3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产品质量部经理</w:t>
            </w:r>
          </w:p>
        </w:tc>
        <w:tc>
          <w:tcPr>
            <w:tcW w:w="180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产品质量部专员</w:t>
            </w:r>
          </w:p>
        </w:tc>
        <w:tc>
          <w:tcPr>
            <w:tcW w:w="150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5"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2026年5月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c>
          <w:tcPr>
            <w:tcW w:w="203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综合部经理</w:t>
            </w:r>
          </w:p>
        </w:tc>
        <w:tc>
          <w:tcPr>
            <w:tcW w:w="180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人事专员</w:t>
            </w:r>
          </w:p>
        </w:tc>
        <w:tc>
          <w:tcPr>
            <w:tcW w:w="150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5"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2026年6月</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KPI指标：备份人员能力达标率 ≥90%（季度）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0148"/>
      <w:r>
        <w:rPr>
          <w:rFonts w:hint="eastAsia"/>
          <w:lang w:val="en-US" w:eastAsia="zh-CN"/>
        </w:rPr>
        <w:t>人员绩效考核计划</w:t>
      </w:r>
      <w:bookmarkEnd w:id="23"/>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24" w:name="_Toc18655"/>
      <w:r>
        <w:rPr>
          <w:rFonts w:hint="eastAsia"/>
          <w:lang w:val="en-US" w:eastAsia="zh-CN"/>
        </w:rPr>
        <w:t xml:space="preserve"> 2026年度人员绩效考核计划表</w:t>
      </w:r>
      <w:bookmarkEnd w:id="2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3"/>
        <w:gridCol w:w="1952"/>
        <w:gridCol w:w="1679"/>
        <w:gridCol w:w="1827"/>
        <w:gridCol w:w="168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83"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考核类型</w:t>
            </w:r>
          </w:p>
        </w:tc>
        <w:tc>
          <w:tcPr>
            <w:tcW w:w="195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考核周期</w:t>
            </w:r>
          </w:p>
        </w:tc>
        <w:tc>
          <w:tcPr>
            <w:tcW w:w="167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考核对象</w:t>
            </w:r>
          </w:p>
        </w:tc>
        <w:tc>
          <w:tcPr>
            <w:tcW w:w="182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考核时间</w:t>
            </w:r>
          </w:p>
        </w:tc>
        <w:tc>
          <w:tcPr>
            <w:tcW w:w="168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8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月度考核</w:t>
            </w:r>
          </w:p>
        </w:tc>
        <w:tc>
          <w:tcPr>
            <w:tcW w:w="195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每月一次</w:t>
            </w:r>
          </w:p>
        </w:tc>
        <w:tc>
          <w:tcPr>
            <w:tcW w:w="16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8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每月5日前</w:t>
            </w:r>
          </w:p>
        </w:tc>
        <w:tc>
          <w:tcPr>
            <w:tcW w:w="16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8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季度考核</w:t>
            </w:r>
          </w:p>
        </w:tc>
        <w:tc>
          <w:tcPr>
            <w:tcW w:w="195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每季度一次</w:t>
            </w:r>
          </w:p>
        </w:tc>
        <w:tc>
          <w:tcPr>
            <w:tcW w:w="16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8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每季度末</w:t>
            </w:r>
          </w:p>
        </w:tc>
        <w:tc>
          <w:tcPr>
            <w:tcW w:w="16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83"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年度考核</w:t>
            </w:r>
          </w:p>
        </w:tc>
        <w:tc>
          <w:tcPr>
            <w:tcW w:w="195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每年一次</w:t>
            </w:r>
          </w:p>
        </w:tc>
        <w:tc>
          <w:tcPr>
            <w:tcW w:w="167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82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12月</w:t>
            </w:r>
          </w:p>
        </w:tc>
        <w:tc>
          <w:tcPr>
            <w:tcW w:w="168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lang w:val="en-US" w:eastAsia="zh-CN"/>
        </w:rPr>
        <w:t>KPI指标：绩效考核及时完成率 100%（月度）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21117"/>
      <w:r>
        <w:rPr>
          <w:rFonts w:hint="eastAsia"/>
          <w:lang w:val="en-US" w:eastAsia="zh-CN"/>
        </w:rPr>
        <w:t>人员技能评定计划</w:t>
      </w:r>
      <w:bookmarkEnd w:id="25"/>
    </w:p>
    <w:p>
      <w:pPr>
        <w:pStyle w:val="a1"/>
        <w:bidi w:val="0"/>
      </w:pPr>
      <w:r>
        <w:t>2026年度目标</w:t>
      </w:r>
      <w:r>
        <w:rPr>
          <w:rFonts w:hint="default"/>
        </w:rPr>
        <w:t>：高等级人员（A+B级）占比从75%提升至80%</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26" w:name="_Toc4944"/>
      <w:r>
        <w:rPr>
          <w:rFonts w:hint="eastAsia"/>
          <w:lang w:val="en-US" w:eastAsia="zh-CN"/>
        </w:rPr>
        <w:t xml:space="preserve"> 2026年度人员技能评定周期表</w:t>
      </w:r>
      <w:bookmarkEnd w:id="2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96"/>
        <w:gridCol w:w="1590"/>
        <w:gridCol w:w="1813"/>
        <w:gridCol w:w="1949"/>
        <w:gridCol w:w="137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9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评定类型</w:t>
            </w:r>
          </w:p>
        </w:tc>
        <w:tc>
          <w:tcPr>
            <w:tcW w:w="159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评定周期</w:t>
            </w:r>
          </w:p>
        </w:tc>
        <w:tc>
          <w:tcPr>
            <w:tcW w:w="1813"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评定对象</w:t>
            </w:r>
          </w:p>
        </w:tc>
        <w:tc>
          <w:tcPr>
            <w:tcW w:w="194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评定时间</w:t>
            </w:r>
          </w:p>
        </w:tc>
        <w:tc>
          <w:tcPr>
            <w:tcW w:w="137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半年度技能评定</w:t>
            </w:r>
          </w:p>
        </w:tc>
        <w:tc>
          <w:tcPr>
            <w:tcW w:w="159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每半年一次</w:t>
            </w:r>
          </w:p>
        </w:tc>
        <w:tc>
          <w:tcPr>
            <w:tcW w:w="181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9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每年6月、12月</w:t>
            </w:r>
          </w:p>
        </w:tc>
        <w:tc>
          <w:tcPr>
            <w:tcW w:w="137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入职技能评定</w:t>
            </w:r>
          </w:p>
        </w:tc>
        <w:tc>
          <w:tcPr>
            <w:tcW w:w="159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入职时</w:t>
            </w:r>
          </w:p>
        </w:tc>
        <w:tc>
          <w:tcPr>
            <w:tcW w:w="181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新员工</w:t>
            </w:r>
          </w:p>
        </w:tc>
        <w:tc>
          <w:tcPr>
            <w:tcW w:w="19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试用期内</w:t>
            </w:r>
          </w:p>
        </w:tc>
        <w:tc>
          <w:tcPr>
            <w:tcW w:w="137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9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晋升技能评定</w:t>
            </w:r>
          </w:p>
        </w:tc>
        <w:tc>
          <w:tcPr>
            <w:tcW w:w="159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晋升前</w:t>
            </w:r>
          </w:p>
        </w:tc>
        <w:tc>
          <w:tcPr>
            <w:tcW w:w="1813"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申请晋升人员</w:t>
            </w:r>
          </w:p>
        </w:tc>
        <w:tc>
          <w:tcPr>
            <w:tcW w:w="194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晋升评审前</w:t>
            </w:r>
          </w:p>
        </w:tc>
        <w:tc>
          <w:tcPr>
            <w:tcW w:w="137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27" w:name="_Toc24451"/>
      <w:r>
        <w:rPr>
          <w:rFonts w:hint="eastAsia"/>
          <w:lang w:val="en-US" w:eastAsia="zh-CN"/>
        </w:rPr>
        <w:t xml:space="preserve"> 2026年度人员技能等级划分表</w:t>
      </w:r>
      <w:bookmarkEnd w:id="2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18"/>
        <w:gridCol w:w="1330"/>
        <w:gridCol w:w="567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18"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技能等级</w:t>
            </w:r>
          </w:p>
        </w:tc>
        <w:tc>
          <w:tcPr>
            <w:tcW w:w="133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评估分数</w:t>
            </w:r>
          </w:p>
        </w:tc>
        <w:tc>
          <w:tcPr>
            <w:tcW w:w="567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A级（专家）</w:t>
            </w:r>
          </w:p>
        </w:tc>
        <w:tc>
          <w:tcPr>
            <w:tcW w:w="13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90-100分</w:t>
            </w:r>
          </w:p>
        </w:tc>
        <w:tc>
          <w:tcPr>
            <w:tcW w:w="567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能够引领技术方向，技术创新；技能优秀，可担任导师或备份人员</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B级（高级）</w:t>
            </w:r>
          </w:p>
        </w:tc>
        <w:tc>
          <w:tcPr>
            <w:tcW w:w="13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80-89分</w:t>
            </w:r>
          </w:p>
        </w:tc>
        <w:tc>
          <w:tcPr>
            <w:tcW w:w="567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能够解决疑难问题，指导他人；技能良好，可独立承担岗位工作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C级（中级）</w:t>
            </w:r>
          </w:p>
        </w:tc>
        <w:tc>
          <w:tcPr>
            <w:tcW w:w="13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60-79分</w:t>
            </w:r>
          </w:p>
        </w:tc>
        <w:tc>
          <w:tcPr>
            <w:tcW w:w="567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能够独立处理复杂问题；技能合格，需持续提升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D级（初级）</w:t>
            </w:r>
          </w:p>
        </w:tc>
        <w:tc>
          <w:tcPr>
            <w:tcW w:w="133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60分以下</w:t>
            </w:r>
          </w:p>
        </w:tc>
        <w:tc>
          <w:tcPr>
            <w:tcW w:w="567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能够独立完成基础运维工作；技能不足，需参加专项培训</w:t>
            </w:r>
          </w:p>
        </w:tc>
      </w:tr>
    </w:tbl>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28" w:name="_Toc4130"/>
      <w:r>
        <w:rPr>
          <w:rFonts w:hint="eastAsia"/>
          <w:lang w:val="en-US" w:eastAsia="zh-CN"/>
        </w:rPr>
        <w:t xml:space="preserve"> 2026年度人员技能评定内容表</w:t>
      </w:r>
      <w:bookmarkEnd w:id="2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19"/>
        <w:gridCol w:w="999"/>
        <w:gridCol w:w="3641"/>
        <w:gridCol w:w="266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21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评定维度</w:t>
            </w:r>
          </w:p>
        </w:tc>
        <w:tc>
          <w:tcPr>
            <w:tcW w:w="99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权重</w:t>
            </w:r>
          </w:p>
        </w:tc>
        <w:tc>
          <w:tcPr>
            <w:tcW w:w="364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评定内容</w:t>
            </w:r>
          </w:p>
        </w:tc>
        <w:tc>
          <w:tcPr>
            <w:tcW w:w="266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专业知识</w:t>
            </w:r>
          </w:p>
        </w:tc>
        <w:tc>
          <w:tcPr>
            <w:tcW w:w="99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30%</w:t>
            </w:r>
          </w:p>
        </w:tc>
        <w:tc>
          <w:tcPr>
            <w:tcW w:w="364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岗位相关技术理论知识</w:t>
            </w:r>
          </w:p>
        </w:tc>
        <w:tc>
          <w:tcPr>
            <w:tcW w:w="26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笔试、面试</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操作技能</w:t>
            </w:r>
          </w:p>
        </w:tc>
        <w:tc>
          <w:tcPr>
            <w:tcW w:w="99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40%</w:t>
            </w:r>
          </w:p>
        </w:tc>
        <w:tc>
          <w:tcPr>
            <w:tcW w:w="364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实际操作能力、故障处理能力</w:t>
            </w:r>
          </w:p>
        </w:tc>
        <w:tc>
          <w:tcPr>
            <w:tcW w:w="26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实操考核、案例演练</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问题解决</w:t>
            </w:r>
          </w:p>
        </w:tc>
        <w:tc>
          <w:tcPr>
            <w:tcW w:w="99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w:t>
            </w:r>
          </w:p>
        </w:tc>
        <w:tc>
          <w:tcPr>
            <w:tcW w:w="364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复杂问题分析、解决能力</w:t>
            </w:r>
          </w:p>
        </w:tc>
        <w:tc>
          <w:tcPr>
            <w:tcW w:w="26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案例答辩、工作成果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知识贡献</w:t>
            </w:r>
          </w:p>
        </w:tc>
        <w:tc>
          <w:tcPr>
            <w:tcW w:w="99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w:t>
            </w:r>
          </w:p>
        </w:tc>
        <w:tc>
          <w:tcPr>
            <w:tcW w:w="364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知识库贡献、培训授课</w:t>
            </w:r>
          </w:p>
        </w:tc>
        <w:tc>
          <w:tcPr>
            <w:tcW w:w="266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知识库记录、培训记录</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9" w:name="_Toc21879"/>
      <w:r>
        <w:rPr>
          <w:rFonts w:hint="eastAsia"/>
          <w:lang w:val="en-US" w:eastAsia="zh-CN"/>
        </w:rPr>
        <w:t xml:space="preserve"> 2026年度人员技能评定结果应用表</w:t>
      </w:r>
      <w:bookmarkEnd w:id="2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281"/>
        <w:gridCol w:w="624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28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应用方向</w:t>
            </w:r>
          </w:p>
        </w:tc>
        <w:tc>
          <w:tcPr>
            <w:tcW w:w="624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具体方式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岗位任职资格</w:t>
            </w:r>
          </w:p>
        </w:tc>
        <w:tc>
          <w:tcPr>
            <w:tcW w:w="624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A/B级可担任关键岗位，C/D级需持续提升</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绩效奖金调节</w:t>
            </w:r>
          </w:p>
        </w:tc>
        <w:tc>
          <w:tcPr>
            <w:tcW w:w="624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技能等级与绩效奖金系数挂钩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培训需求识别</w:t>
            </w:r>
          </w:p>
        </w:tc>
        <w:tc>
          <w:tcPr>
            <w:tcW w:w="624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D级人员需参加专项培训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备份人员选拔</w:t>
            </w:r>
          </w:p>
        </w:tc>
        <w:tc>
          <w:tcPr>
            <w:tcW w:w="624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A/B级人员优先作为关键岗位备份</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hint="default"/>
          <w:i w:val="0"/>
          <w:iCs w:val="0"/>
          <w:caps w:val="0"/>
          <w:color w:val="0F1115"/>
          <w:spacing w:val="0"/>
          <w:sz w:val="24"/>
          <w:szCs w:val="24"/>
          <w:shd w:val="clear" w:color="auto" w:fill="FFFFFF"/>
          <w:lang w:val="en-US" w:eastAsia="zh-CN"/>
        </w:rPr>
      </w:pPr>
      <w:r>
        <w:rPr>
          <w:rFonts w:ascii="Segoe UI" w:eastAsia="Segoe UI" w:hAnsi="Segoe UI" w:cs="Segoe UI" w:hint="default"/>
          <w:i w:val="0"/>
          <w:iCs w:val="0"/>
          <w:caps w:val="0"/>
          <w:color w:val="0F1115"/>
          <w:spacing w:val="0"/>
          <w:sz w:val="24"/>
          <w:szCs w:val="24"/>
          <w:shd w:val="clear" w:color="auto" w:fill="FFFFFF"/>
          <w:lang w:val="en-US" w:eastAsia="zh-CN"/>
        </w:rPr>
        <w:t>KPI指标：技能评价覆盖率 100%（半年度）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4039"/>
      <w:r>
        <w:rPr>
          <w:rFonts w:hint="eastAsia"/>
          <w:lang w:val="en-US" w:eastAsia="zh-CN"/>
        </w:rPr>
        <w:t>资源管理规划</w:t>
      </w:r>
      <w:bookmarkEnd w:id="3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30644"/>
      <w:r>
        <w:rPr>
          <w:rFonts w:hint="default"/>
          <w:lang w:val="en-US" w:eastAsia="zh-CN"/>
        </w:rPr>
        <w:t>运维工具管理</w:t>
      </w:r>
      <w:bookmarkEnd w:id="31"/>
    </w:p>
    <w:p>
      <w:pPr>
        <w:pStyle w:val="a1"/>
        <w:rPr>
          <w:rFonts w:hint="default"/>
          <w:lang w:val="en-US" w:eastAsia="zh-CN"/>
        </w:rPr>
      </w:pPr>
      <w:r>
        <w:rPr>
          <w:rFonts w:hint="default"/>
          <w:lang w:val="en-US" w:eastAsia="zh-CN"/>
        </w:rPr>
        <w:t>根据《运维服务工具管理制度》，公司目前使用的运维工具主要包括iTop运维管理平台和哈哈哈哈哈运维监控平台。</w:t>
      </w:r>
    </w:p>
    <w:p>
      <w:pPr>
        <w:pStyle w:val="a1"/>
        <w:rPr>
          <w:rFonts w:hint="default"/>
          <w:lang w:val="en-US" w:eastAsia="zh-CN"/>
        </w:rPr>
      </w:pPr>
      <w:r>
        <w:rPr>
          <w:rFonts w:hint="default"/>
          <w:lang w:val="en-US" w:eastAsia="zh-CN"/>
        </w:rPr>
        <w:t>2026年运维工具管理的主要工作：</w:t>
      </w:r>
    </w:p>
    <w:p>
      <w:pPr>
        <w:pStyle w:val="a1"/>
        <w:numPr>
          <w:ilvl w:val="0"/>
          <w:numId w:val="6"/>
        </w:numPr>
        <w:ind w:left="425" w:hanging="425" w:leftChars="0" w:firstLineChars="0"/>
        <w:rPr>
          <w:rFonts w:hint="default"/>
          <w:lang w:val="en-US" w:eastAsia="zh-CN"/>
        </w:rPr>
      </w:pPr>
      <w:r>
        <w:rPr>
          <w:rFonts w:hint="default"/>
          <w:lang w:val="en-US" w:eastAsia="zh-CN"/>
        </w:rPr>
        <w:t>研发部负责根据运维业务需求，持续优化监控平台功能，2026年重点完成自动化巡检工具和数据完整性校验工具的研发</w:t>
      </w:r>
    </w:p>
    <w:p>
      <w:pPr>
        <w:pStyle w:val="a1"/>
        <w:numPr>
          <w:ilvl w:val="0"/>
          <w:numId w:val="6"/>
        </w:numPr>
        <w:ind w:left="425" w:hanging="425" w:leftChars="0" w:firstLineChars="0"/>
        <w:rPr>
          <w:rFonts w:hint="default"/>
          <w:lang w:val="en-US" w:eastAsia="zh-CN"/>
        </w:rPr>
      </w:pPr>
      <w:r>
        <w:rPr>
          <w:rFonts w:hint="default"/>
          <w:lang w:val="en-US" w:eastAsia="zh-CN"/>
        </w:rPr>
        <w:t>运维部经理每年度组织一次运维工具使用效果评估，形成《运维工具自评估报告》，从工具覆盖度、使用效率、用户满意度等方面进行评估</w:t>
      </w:r>
    </w:p>
    <w:p>
      <w:pPr>
        <w:pStyle w:val="a1"/>
        <w:numPr>
          <w:ilvl w:val="0"/>
          <w:numId w:val="6"/>
        </w:numPr>
        <w:ind w:left="425" w:hanging="425" w:leftChars="0" w:firstLineChars="0"/>
        <w:rPr>
          <w:rFonts w:hint="default"/>
          <w:lang w:val="en-US" w:eastAsia="zh-CN"/>
        </w:rPr>
      </w:pPr>
      <w:r>
        <w:rPr>
          <w:rFonts w:hint="default"/>
          <w:lang w:val="en-US" w:eastAsia="zh-CN"/>
        </w:rPr>
        <w:t>研发部负责编制和维护运维工具操作手册，确保操作人员熟练掌握工具使用方法</w:t>
      </w:r>
    </w:p>
    <w:p>
      <w:pPr>
        <w:pStyle w:val="a1"/>
        <w:numPr>
          <w:ilvl w:val="0"/>
          <w:numId w:val="6"/>
        </w:numPr>
        <w:ind w:left="425" w:hanging="425" w:leftChars="0" w:firstLineChars="0"/>
        <w:rPr>
          <w:rFonts w:hint="default"/>
          <w:lang w:val="en-US" w:eastAsia="zh-CN"/>
        </w:rPr>
      </w:pPr>
      <w:r>
        <w:rPr>
          <w:rFonts w:hint="default"/>
          <w:lang w:val="en-US" w:eastAsia="zh-CN"/>
        </w:rPr>
        <w:t>通过工具使用数据的统计分析，评估工具对运维效率的实际提升效果</w:t>
      </w:r>
    </w:p>
    <w:p>
      <w:pPr>
        <w:pStyle w:val="a1"/>
        <w:rPr>
          <w:rFonts w:hint="default"/>
          <w:lang w:val="en-US" w:eastAsia="zh-CN"/>
        </w:rPr>
      </w:pPr>
      <w:r>
        <w:rPr>
          <w:rFonts w:hint="default"/>
          <w:lang w:val="en-US" w:eastAsia="zh-CN"/>
        </w:rPr>
        <w:t>KPI指标：运维工具评审次数 ≥1次（年度）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5728"/>
      <w:r>
        <w:rPr>
          <w:rFonts w:hint="default"/>
          <w:lang w:val="en-US" w:eastAsia="zh-CN"/>
        </w:rPr>
        <w:t>服务知识管理</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根据《运维服务服务知识管理制度》，公司服务知识由运维部主导管理，负责知识入库审批、知识质量监督与权限管理。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2026年服务知识管理的主要工作：</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建立知识的全生命周期管理机制，严格执行知识提交、审批、发布、更新、删除的标准化流程</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将事件处理、问题分析中的典型解决方案录入服务知识库，形成“事件→问题→知识”的闭环管理</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按照服务知识管理制度的激励措施，对积极贡献知识的员工给予积分奖励和年度评优倾斜</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每年度组织一次服务知识使用培训，提高运维人员对知识库的使用熟练度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新增知识条目：≥5条（月度）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服务知识使用率：</w:t>
      </w:r>
      <w:r>
        <w:rPr>
          <w:rFonts w:hint="eastAsia"/>
          <w:lang w:val="en-US" w:eastAsia="zh-CN"/>
        </w:rPr>
        <w:t>80</w:t>
      </w:r>
      <w:r>
        <w:rPr>
          <w:rFonts w:hint="default"/>
          <w:lang w:val="en-US" w:eastAsia="zh-CN"/>
        </w:rPr>
        <w:t>%（季度）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知识采纳率：≥</w:t>
      </w:r>
      <w:r>
        <w:rPr>
          <w:rFonts w:hint="eastAsia"/>
          <w:lang w:val="en-US" w:eastAsia="zh-CN"/>
        </w:rPr>
        <w:t>70</w:t>
      </w:r>
      <w:r>
        <w:rPr>
          <w:rFonts w:hint="default"/>
          <w:lang w:val="en-US" w:eastAsia="zh-CN"/>
        </w:rPr>
        <w:t>%（季度）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1911"/>
      <w:r>
        <w:rPr>
          <w:rFonts w:hint="default"/>
          <w:lang w:val="en-US" w:eastAsia="zh-CN"/>
        </w:rPr>
        <w:t>服务台管理</w:t>
      </w:r>
      <w:bookmarkEnd w:id="33"/>
    </w:p>
    <w:p>
      <w:pPr>
        <w:pStyle w:val="a1"/>
        <w:rPr>
          <w:rFonts w:hint="default"/>
          <w:lang w:val="en-US" w:eastAsia="zh-CN"/>
        </w:rPr>
      </w:pPr>
      <w:r>
        <w:rPr>
          <w:rFonts w:hint="default"/>
          <w:lang w:val="en-US" w:eastAsia="zh-CN"/>
        </w:rPr>
        <w:t>根据《运维服务服务台管理制度》，服务台是公司运维服务的统一入口，设立统一服务热线，提供7×24小时不间断服务。</w:t>
      </w:r>
    </w:p>
    <w:p>
      <w:pPr>
        <w:pStyle w:val="a1"/>
        <w:rPr>
          <w:rFonts w:hint="default"/>
          <w:lang w:val="en-US" w:eastAsia="zh-CN"/>
        </w:rPr>
      </w:pPr>
      <w:r>
        <w:rPr>
          <w:rFonts w:hint="default"/>
          <w:lang w:val="en-US" w:eastAsia="zh-CN"/>
        </w:rPr>
        <w:t>2026年服务台管理的主要工作：</w:t>
      </w:r>
    </w:p>
    <w:p>
      <w:pPr>
        <w:pStyle w:val="a1"/>
        <w:numPr>
          <w:ilvl w:val="0"/>
          <w:numId w:val="8"/>
        </w:numPr>
        <w:ind w:left="425" w:hanging="425" w:leftChars="0" w:firstLineChars="0"/>
        <w:rPr>
          <w:rFonts w:hint="default"/>
          <w:lang w:val="en-US" w:eastAsia="zh-CN"/>
        </w:rPr>
      </w:pPr>
      <w:r>
        <w:rPr>
          <w:rFonts w:hint="default"/>
          <w:lang w:val="en-US" w:eastAsia="zh-CN"/>
        </w:rPr>
        <w:t>所有客户服务请求、故障报修、咨询投诉均通过服务台统一受理，确保服务过程可记录、可追溯</w:t>
      </w:r>
    </w:p>
    <w:p>
      <w:pPr>
        <w:pStyle w:val="a1"/>
        <w:numPr>
          <w:ilvl w:val="0"/>
          <w:numId w:val="8"/>
        </w:numPr>
        <w:ind w:left="425" w:hanging="425" w:leftChars="0" w:firstLineChars="0"/>
        <w:rPr>
          <w:rFonts w:hint="default"/>
          <w:lang w:val="en-US" w:eastAsia="zh-CN"/>
        </w:rPr>
      </w:pPr>
      <w:r>
        <w:rPr>
          <w:rFonts w:hint="default"/>
          <w:lang w:val="en-US" w:eastAsia="zh-CN"/>
        </w:rPr>
        <w:t>严格按照标准化流程执行，确保每个事件从受理到关闭的全过程闭环管理</w:t>
      </w:r>
    </w:p>
    <w:p>
      <w:pPr>
        <w:pStyle w:val="a1"/>
        <w:numPr>
          <w:ilvl w:val="0"/>
          <w:numId w:val="8"/>
        </w:numPr>
        <w:ind w:left="425" w:hanging="425" w:leftChars="0" w:firstLineChars="0"/>
        <w:rPr>
          <w:rFonts w:hint="default"/>
          <w:lang w:val="en-US" w:eastAsia="zh-CN"/>
        </w:rPr>
      </w:pPr>
      <w:r>
        <w:rPr>
          <w:rFonts w:hint="default"/>
          <w:lang w:val="en-US" w:eastAsia="zh-CN"/>
        </w:rPr>
        <w:t>每年度组织服务台专项培训，提升服务台人员的沟通技巧和问题判断能力</w:t>
      </w:r>
    </w:p>
    <w:p>
      <w:pPr>
        <w:pStyle w:val="a1"/>
        <w:numPr>
          <w:ilvl w:val="0"/>
          <w:numId w:val="8"/>
        </w:numPr>
        <w:ind w:left="425" w:hanging="425" w:leftChars="0" w:firstLineChars="0"/>
        <w:rPr>
          <w:rFonts w:hint="default"/>
          <w:lang w:val="en-US" w:eastAsia="zh-CN"/>
        </w:rPr>
      </w:pPr>
      <w:r>
        <w:rPr>
          <w:rFonts w:hint="default"/>
          <w:lang w:val="en-US" w:eastAsia="zh-CN"/>
        </w:rPr>
        <w:t>运维部经理定期填写《服务台服务质量考核表》，考核结果计入个人绩效</w:t>
      </w:r>
    </w:p>
    <w:p>
      <w:pPr>
        <w:pStyle w:val="a1"/>
        <w:numPr>
          <w:ilvl w:val="0"/>
          <w:numId w:val="8"/>
        </w:numPr>
        <w:ind w:left="425" w:hanging="425" w:leftChars="0" w:firstLineChars="0"/>
        <w:rPr>
          <w:rFonts w:hint="default"/>
          <w:lang w:val="en-US" w:eastAsia="zh-CN"/>
        </w:rPr>
      </w:pPr>
      <w:r>
        <w:rPr>
          <w:rFonts w:hint="default"/>
          <w:lang w:val="en-US" w:eastAsia="zh-CN"/>
        </w:rPr>
        <w:t>每月统计服务台请求关闭率、接通率、客户满意度等关键指标</w:t>
      </w:r>
    </w:p>
    <w:p>
      <w:pPr>
        <w:pStyle w:val="a1"/>
        <w:rPr>
          <w:rFonts w:hint="default"/>
          <w:lang w:val="en-US" w:eastAsia="zh-CN"/>
        </w:rPr>
      </w:pPr>
      <w:r>
        <w:rPr>
          <w:rFonts w:hint="default"/>
          <w:lang w:val="en-US" w:eastAsia="zh-CN"/>
        </w:rPr>
        <w:t>KPI指标：</w:t>
      </w:r>
    </w:p>
    <w:p>
      <w:pPr>
        <w:pStyle w:val="a1"/>
        <w:rPr>
          <w:rFonts w:hint="default"/>
          <w:lang w:val="en-US" w:eastAsia="zh-CN"/>
        </w:rPr>
      </w:pPr>
      <w:r>
        <w:rPr>
          <w:rFonts w:hint="default"/>
          <w:lang w:val="en-US" w:eastAsia="zh-CN"/>
        </w:rPr>
        <w:t>服务台请求关闭率：≥95%（月度）</w:t>
      </w:r>
    </w:p>
    <w:p>
      <w:pPr>
        <w:pStyle w:val="a1"/>
        <w:rPr>
          <w:rFonts w:hint="default"/>
          <w:lang w:val="en-US" w:eastAsia="zh-CN"/>
        </w:rPr>
      </w:pPr>
      <w:r>
        <w:rPr>
          <w:rFonts w:hint="default"/>
          <w:lang w:val="en-US" w:eastAsia="zh-CN"/>
        </w:rPr>
        <w:t>服务台接通率：≥98%（月度）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6603"/>
      <w:r>
        <w:rPr>
          <w:rFonts w:hint="default"/>
          <w:lang w:val="en-US" w:eastAsia="zh-CN"/>
        </w:rPr>
        <w:t>备件库管理</w:t>
      </w:r>
      <w:bookmarkEnd w:id="34"/>
    </w:p>
    <w:p>
      <w:pPr>
        <w:pStyle w:val="a1"/>
        <w:rPr>
          <w:rFonts w:hint="default"/>
          <w:lang w:val="en-US" w:eastAsia="zh-CN"/>
        </w:rPr>
      </w:pPr>
      <w:r>
        <w:rPr>
          <w:rFonts w:hint="default"/>
          <w:lang w:val="en-US" w:eastAsia="zh-CN"/>
        </w:rPr>
        <w:t>根据《运维服务备件库管理制度》，备件库是公司运维服务的重要资源保障，遵循“统一管理、集中调配”的原则，确保备件质量可靠、供应及时、管理规范。</w:t>
      </w:r>
    </w:p>
    <w:p>
      <w:pPr>
        <w:pStyle w:val="a1"/>
        <w:rPr>
          <w:rFonts w:hint="default"/>
          <w:lang w:val="en-US" w:eastAsia="zh-CN"/>
        </w:rPr>
      </w:pPr>
      <w:r>
        <w:rPr>
          <w:rFonts w:hint="default"/>
          <w:lang w:val="en-US" w:eastAsia="zh-CN"/>
        </w:rPr>
        <w:t>2026年备件库管理的主要工作：</w:t>
      </w:r>
    </w:p>
    <w:p>
      <w:pPr>
        <w:pStyle w:val="a3"/>
        <w:numPr>
          <w:ilvl w:val="0"/>
          <w:numId w:val="9"/>
        </w:numPr>
        <w:bidi w:val="0"/>
        <w:ind w:left="425" w:hanging="425" w:leftChars="0" w:firstLineChars="0"/>
        <w:rPr>
          <w:rFonts w:hint="default"/>
          <w:lang w:val="en-US" w:eastAsia="zh-CN"/>
        </w:rPr>
      </w:pPr>
      <w:r>
        <w:rPr>
          <w:rFonts w:hint="default"/>
          <w:lang w:val="en-US" w:eastAsia="zh-CN"/>
        </w:rPr>
        <w:t>根据运维服务目录和SLA要求，制定备件储备规划，明确关键备件的安全库存数量，确保故障发生时能够快速调配备件。</w:t>
      </w:r>
    </w:p>
    <w:p>
      <w:pPr>
        <w:pStyle w:val="a3"/>
        <w:numPr>
          <w:ilvl w:val="0"/>
          <w:numId w:val="9"/>
        </w:numPr>
        <w:bidi w:val="0"/>
        <w:ind w:left="425" w:hanging="425" w:leftChars="0" w:firstLineChars="0"/>
        <w:rPr>
          <w:rFonts w:hint="default"/>
          <w:lang w:val="en-US" w:eastAsia="zh-CN"/>
        </w:rPr>
      </w:pPr>
      <w:r>
        <w:rPr>
          <w:rFonts w:hint="default"/>
          <w:lang w:val="en-US" w:eastAsia="zh-CN"/>
        </w:rPr>
        <w:t>严格按照入库验收、库存管理、出库审批的标准化流程执行，所有备件入库前均需经过验收和功能性测试，出库凭审批单办理，确保账实相符。</w:t>
      </w:r>
    </w:p>
    <w:p>
      <w:pPr>
        <w:pStyle w:val="a3"/>
        <w:numPr>
          <w:ilvl w:val="0"/>
          <w:numId w:val="9"/>
        </w:numPr>
        <w:bidi w:val="0"/>
        <w:ind w:left="425" w:hanging="425" w:leftChars="0" w:firstLineChars="0"/>
        <w:rPr>
          <w:rFonts w:hint="default"/>
          <w:lang w:val="en-US" w:eastAsia="zh-CN"/>
        </w:rPr>
      </w:pPr>
      <w:r>
        <w:rPr>
          <w:rFonts w:hint="default"/>
          <w:lang w:val="en-US" w:eastAsia="zh-CN"/>
        </w:rPr>
        <w:t>每月对库存备件按30%比例进行抽检，确保备件性能符合要求，对检测中发现问题的备件，及时送修或报废处理。</w:t>
      </w:r>
    </w:p>
    <w:p>
      <w:pPr>
        <w:pStyle w:val="a3"/>
        <w:numPr>
          <w:ilvl w:val="0"/>
          <w:numId w:val="9"/>
        </w:numPr>
        <w:bidi w:val="0"/>
        <w:ind w:left="425" w:hanging="425" w:leftChars="0" w:firstLineChars="0"/>
        <w:rPr>
          <w:rFonts w:hint="default"/>
          <w:lang w:val="en-US" w:eastAsia="zh-CN"/>
        </w:rPr>
      </w:pPr>
      <w:r>
        <w:rPr>
          <w:rFonts w:hint="default"/>
          <w:lang w:val="en-US" w:eastAsia="zh-CN"/>
        </w:rPr>
        <w:t>备件库专员每月对库存进行盘点，核对账实一致性，盘点结果计入个人绩效考核。</w:t>
      </w:r>
    </w:p>
    <w:p>
      <w:pPr>
        <w:pStyle w:val="a3"/>
        <w:numPr>
          <w:ilvl w:val="0"/>
          <w:numId w:val="9"/>
        </w:numPr>
        <w:bidi w:val="0"/>
        <w:ind w:left="425" w:hanging="425" w:leftChars="0" w:firstLineChars="0"/>
        <w:rPr>
          <w:rFonts w:hint="default"/>
          <w:lang w:val="en-US" w:eastAsia="zh-CN"/>
        </w:rPr>
      </w:pPr>
      <w:r>
        <w:rPr>
          <w:rFonts w:hint="default"/>
          <w:lang w:val="en-US" w:eastAsia="zh-CN"/>
        </w:rPr>
        <w:t>每月统计备件可用率、备件库存准确率等关键指标，分析备件库运行情况，发现异常及时改进。</w:t>
      </w:r>
    </w:p>
    <w:p>
      <w:pPr>
        <w:pStyle w:val="a1"/>
        <w:rPr>
          <w:rFonts w:hint="default"/>
          <w:lang w:val="en-US" w:eastAsia="zh-CN"/>
        </w:rPr>
      </w:pPr>
      <w:r>
        <w:rPr>
          <w:rFonts w:hint="default"/>
          <w:lang w:val="en-US" w:eastAsia="zh-CN"/>
        </w:rPr>
        <w:t>KPI指标：</w:t>
      </w:r>
    </w:p>
    <w:p>
      <w:pPr>
        <w:pStyle w:val="a1"/>
        <w:rPr>
          <w:rFonts w:hint="default"/>
          <w:lang w:val="en-US" w:eastAsia="zh-CN"/>
        </w:rPr>
      </w:pPr>
      <w:r>
        <w:rPr>
          <w:rFonts w:hint="default"/>
          <w:lang w:val="en-US" w:eastAsia="zh-CN"/>
        </w:rPr>
        <w:t>备件可用率：≥95%（季度）</w:t>
      </w:r>
    </w:p>
    <w:p>
      <w:pPr>
        <w:pStyle w:val="a1"/>
        <w:rPr>
          <w:rFonts w:hint="default"/>
          <w:lang w:val="en-US" w:eastAsia="zh-CN"/>
        </w:rPr>
      </w:pPr>
      <w:r>
        <w:rPr>
          <w:rFonts w:hint="default"/>
          <w:lang w:val="en-US" w:eastAsia="zh-CN"/>
        </w:rPr>
        <w:t>备件库存准确率：100%（月度）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7154"/>
      <w:r>
        <w:rPr>
          <w:rFonts w:hint="default"/>
          <w:lang w:val="en-US" w:eastAsia="zh-CN"/>
        </w:rPr>
        <w:t>最终软件库管理</w:t>
      </w:r>
      <w:bookmarkEnd w:id="35"/>
    </w:p>
    <w:p>
      <w:pPr>
        <w:pStyle w:val="a1"/>
        <w:rPr>
          <w:rFonts w:hint="default"/>
          <w:lang w:val="en-US" w:eastAsia="zh-CN"/>
        </w:rPr>
      </w:pPr>
      <w:r>
        <w:rPr>
          <w:rFonts w:hint="default"/>
          <w:lang w:val="en-US" w:eastAsia="zh-CN"/>
        </w:rPr>
        <w:t>2026年最终软件库管理的主要工作：</w:t>
      </w:r>
    </w:p>
    <w:p>
      <w:pPr>
        <w:pStyle w:val="a1"/>
        <w:numPr>
          <w:ilvl w:val="0"/>
          <w:numId w:val="10"/>
        </w:numPr>
        <w:ind w:left="425" w:hanging="425" w:leftChars="0" w:firstLineChars="0"/>
        <w:rPr>
          <w:rFonts w:hint="default"/>
          <w:lang w:val="en-US" w:eastAsia="zh-CN"/>
        </w:rPr>
      </w:pPr>
      <w:r>
        <w:rPr>
          <w:rFonts w:hint="default"/>
          <w:lang w:val="en-US" w:eastAsia="zh-CN"/>
        </w:rPr>
        <w:t>所有软件入库前需经过安全检测和完整性验证</w:t>
      </w:r>
    </w:p>
    <w:p>
      <w:pPr>
        <w:pStyle w:val="a1"/>
        <w:numPr>
          <w:ilvl w:val="0"/>
          <w:numId w:val="10"/>
        </w:numPr>
        <w:ind w:left="425" w:hanging="425" w:leftChars="0" w:firstLineChars="0"/>
        <w:rPr>
          <w:rFonts w:hint="default"/>
          <w:lang w:val="en-US" w:eastAsia="zh-CN"/>
        </w:rPr>
      </w:pPr>
      <w:r>
        <w:rPr>
          <w:rFonts w:hint="default"/>
          <w:lang w:val="en-US" w:eastAsia="zh-CN"/>
        </w:rPr>
        <w:t>建立软件版本基线，对正式版本、测试版本进行分类管理</w:t>
      </w:r>
    </w:p>
    <w:p>
      <w:pPr>
        <w:pStyle w:val="a1"/>
        <w:numPr>
          <w:ilvl w:val="0"/>
          <w:numId w:val="10"/>
        </w:numPr>
        <w:ind w:left="425" w:hanging="425" w:leftChars="0" w:firstLineChars="0"/>
        <w:rPr>
          <w:rFonts w:hint="default"/>
          <w:lang w:val="en-US" w:eastAsia="zh-CN"/>
        </w:rPr>
      </w:pPr>
      <w:r>
        <w:rPr>
          <w:rFonts w:hint="default"/>
          <w:lang w:val="en-US" w:eastAsia="zh-CN"/>
        </w:rPr>
        <w:t>所有商业软件授权在软件库中统一登记，按照授权数量和使用范围进行管控</w:t>
      </w:r>
    </w:p>
    <w:p>
      <w:pPr>
        <w:pStyle w:val="a1"/>
        <w:numPr>
          <w:ilvl w:val="0"/>
          <w:numId w:val="10"/>
        </w:numPr>
        <w:ind w:left="425" w:hanging="425" w:leftChars="0" w:firstLineChars="0"/>
        <w:rPr>
          <w:rFonts w:hint="default"/>
          <w:lang w:val="en-US" w:eastAsia="zh-CN"/>
        </w:rPr>
      </w:pPr>
      <w:r>
        <w:rPr>
          <w:rFonts w:hint="default"/>
          <w:lang w:val="en-US" w:eastAsia="zh-CN"/>
        </w:rPr>
        <w:t>每季度对授权使用情况进行审计，确保软件使用合规</w:t>
      </w:r>
    </w:p>
    <w:p>
      <w:pPr>
        <w:pStyle w:val="a1"/>
        <w:numPr>
          <w:ilvl w:val="0"/>
          <w:numId w:val="10"/>
        </w:numPr>
        <w:ind w:left="425" w:hanging="425" w:leftChars="0" w:firstLineChars="0"/>
        <w:rPr>
          <w:rFonts w:hint="default"/>
          <w:lang w:val="en-US" w:eastAsia="zh-CN"/>
        </w:rPr>
      </w:pPr>
      <w:r>
        <w:rPr>
          <w:rFonts w:hint="default"/>
          <w:lang w:val="en-US" w:eastAsia="zh-CN"/>
        </w:rPr>
        <w:t>每月对软件库进行盘点，核对软件资产清单</w:t>
      </w:r>
    </w:p>
    <w:p>
      <w:pPr>
        <w:pStyle w:val="a1"/>
        <w:rPr>
          <w:rFonts w:hint="default"/>
          <w:lang w:val="en-US" w:eastAsia="zh-CN"/>
        </w:rPr>
      </w:pPr>
      <w:r>
        <w:rPr>
          <w:rFonts w:hint="default"/>
          <w:lang w:val="en-US" w:eastAsia="zh-CN"/>
        </w:rPr>
        <w:t>KPI指标：软件入库完整率 100%（半年度）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8168"/>
      <w:r>
        <w:rPr>
          <w:rFonts w:hint="default"/>
          <w:lang w:val="en-US" w:eastAsia="zh-CN"/>
        </w:rPr>
        <w:t>服务数据管理</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根据《运维服务服务数据管理制度》，公司服务数据由运维部主导管理，覆盖服务数据的分类、收集、备份、加密、恢复的全生命周期。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2026年服务数据管理的主要工作：</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运维工单数据每日全量备份，配置管理数据每周全量备份，监控数据每月增量备份</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每半年组织一次数据恢复试验，验证备份数据的可用性和完整性</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对客户敏感数据、系统核心配置等高密级数据实施存储加密和传输加密</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针对2025年第二季度数据完整性未达标的问题，2026年持续加强数据录入规范培训和检查</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研发数据完整性自动校验工具，从工具层面保障服务数据质量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数据备份成功率：≥99%（月度）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数据恢复成功率：≥95%（半年度）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数据完整性：≥99%（季度）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4503"/>
      <w:r>
        <w:rPr>
          <w:rFonts w:hint="eastAsia"/>
          <w:lang w:val="en-US" w:eastAsia="zh-CN"/>
        </w:rPr>
        <w:t>技术研发规划</w:t>
      </w:r>
      <w:bookmarkEnd w:id="3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31620"/>
      <w:r>
        <w:rPr>
          <w:rFonts w:hint="default"/>
          <w:lang w:val="en-US" w:eastAsia="zh-CN"/>
        </w:rPr>
        <w:t>研发现状</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公司研发部已建立研发管理制度，配备研发团队及开发测试环境。2025年已完成数据库监控模块的研发，实现了对MySQL、Redis等主流数据库的全面监控及慢SQL分析功能。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但在运维自动化方面存在短板：人工巡检工作量大、存在操作失误风险；数据完整性依赖人工检查，效率较低；智能运维能力有待提升。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7042"/>
      <w:r>
        <w:rPr>
          <w:rFonts w:hint="default"/>
          <w:lang w:val="en-US" w:eastAsia="zh-CN"/>
        </w:rPr>
        <w:t>研发目标</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2026年技术研发聚焦于四个方向：</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运维自动化提升：研发自动化巡检工具，实现服务器、网络设备、数据库、前端设备的自动化巡检</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数据质量保障：研发数据完整性自动校验工具，从工具层面保障服务数据质量</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智能运维能力建设：在2025年智能告警技术基础上，进一步研发根因分析、智能诊断功能</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运维工具整合优化：优化现有监控平台和服务知识的易用性</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0358"/>
      <w:r>
        <w:rPr>
          <w:rFonts w:hint="eastAsia"/>
          <w:lang w:val="en-US" w:eastAsia="zh-CN"/>
        </w:rPr>
        <w:t>研发计划</w:t>
      </w:r>
      <w:bookmarkEnd w:id="4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51"/>
        <w:gridCol w:w="5381"/>
        <w:gridCol w:w="199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5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阶段</w:t>
            </w:r>
          </w:p>
        </w:tc>
        <w:tc>
          <w:tcPr>
            <w:tcW w:w="538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阶段名称</w:t>
            </w:r>
          </w:p>
        </w:tc>
        <w:tc>
          <w:tcPr>
            <w:tcW w:w="1990"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计划完成时间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第一阶段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项目启动</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2026年1月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第二阶段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需求分析</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2026年2月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第三阶段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系统开发一期（自动化巡检工具）</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2026年3月-4月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第四阶段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系统开发二期（数据完整性校验工具）</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2026年5月-6月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第五阶段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系统开发三期（智能告警优化+知识库智能检索）</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2026年7月-8月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第六阶段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试运行部署</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2026年9月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第七阶段</w:t>
            </w:r>
          </w:p>
        </w:tc>
        <w:tc>
          <w:tcPr>
            <w:tcW w:w="538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项目收尾</w:t>
            </w:r>
          </w:p>
        </w:tc>
        <w:tc>
          <w:tcPr>
            <w:tcW w:w="1990"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2026年10月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第八阶段</w:t>
            </w:r>
          </w:p>
        </w:tc>
        <w:tc>
          <w:tcPr>
            <w:tcW w:w="538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推广应用</w:t>
            </w:r>
          </w:p>
        </w:tc>
        <w:tc>
          <w:tcPr>
            <w:tcW w:w="1990"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2026年11月-12月</w:t>
            </w:r>
          </w:p>
        </w:tc>
      </w:tr>
    </w:tbl>
    <w:p>
      <w:pPr>
        <w:pStyle w:val="3"/>
        <w:bidi w:val="0"/>
        <w:rPr>
          <w:rFonts w:hint="default"/>
          <w:lang w:val="en-US" w:eastAsia="zh-CN"/>
        </w:rPr>
      </w:pPr>
      <w:bookmarkStart w:id="41" w:name="_Toc717"/>
      <w:bookmarkStart w:id="42" w:name="_Toc27887"/>
      <w:r>
        <w:rPr>
          <w:rFonts w:hint="default"/>
          <w:lang w:val="en-US" w:eastAsia="zh-CN"/>
        </w:rPr>
        <w:t>主要功能研发安排</w:t>
      </w:r>
      <w:bookmarkEnd w:id="41"/>
      <w:bookmarkEnd w:id="42"/>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12"/>
        <w:gridCol w:w="1400"/>
        <w:gridCol w:w="3884"/>
        <w:gridCol w:w="140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研发方向</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功能模块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具体功能</w:t>
            </w:r>
          </w:p>
        </w:tc>
        <w:tc>
          <w:tcPr>
            <w:tcW w:w="140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自动化巡检工具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CPU、内存、磁盘巡检</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2026年2月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连通性巡检</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2026年3月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连接数、慢查询、表空间检查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2026年4月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收银机、扫码枪、打印机在线检测</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2026年4月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巡检报告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自动生成巡检报告（日报/周报/月报）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2026年4月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数据完整性校验工具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字段校验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必填字段完整性检查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2026年5月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格式校验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日期、金额等字段格式正确性检查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逻辑校验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业务逻辑一致性检查（如订单金额=明细汇总）</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异常预警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异常数据自动告警</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智能告警优化</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告警聚合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相似告警自动聚合</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2026年7月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根因推荐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基于历史数据推荐故障根因</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告警抑制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关联告警自动抑制</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告警升级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长时间未处理告警自动升级</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知识库优化</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语义搜索</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自然语言搜索知识库</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40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智能推荐</w:t>
            </w:r>
          </w:p>
        </w:tc>
        <w:tc>
          <w:tcPr>
            <w:tcW w:w="388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根据事件描述自动推荐相关知识</w:t>
            </w:r>
          </w:p>
        </w:tc>
        <w:tc>
          <w:tcPr>
            <w:tcW w:w="140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bl>
    <w:p>
      <w:pPr>
        <w:pStyle w:val="a1"/>
        <w:bidi w:val="0"/>
        <w:rPr>
          <w:rFonts w:hint="eastAsia"/>
          <w:lang w:val="en-US" w:eastAsia="zh-CN"/>
        </w:rPr>
      </w:pPr>
      <w:r>
        <w:rPr>
          <w:rFonts w:hint="eastAsia"/>
          <w:lang w:val="en-US" w:eastAsia="zh-CN"/>
        </w:rPr>
        <w:t>KPI指标：</w:t>
      </w:r>
    </w:p>
    <w:p>
      <w:pPr>
        <w:pStyle w:val="a1"/>
        <w:bidi w:val="0"/>
        <w:rPr>
          <w:rFonts w:hint="eastAsia"/>
          <w:lang w:val="en-US" w:eastAsia="zh-CN"/>
        </w:rPr>
      </w:pPr>
      <w:r>
        <w:rPr>
          <w:rFonts w:hint="eastAsia"/>
          <w:lang w:val="en-US" w:eastAsia="zh-CN"/>
        </w:rPr>
        <w:t>研发计划完成率：100%（年度）</w:t>
      </w:r>
    </w:p>
    <w:p>
      <w:pPr>
        <w:pStyle w:val="a1"/>
        <w:bidi w:val="0"/>
        <w:rPr>
          <w:rFonts w:hint="eastAsia"/>
          <w:lang w:val="en-US" w:eastAsia="zh-CN"/>
        </w:rPr>
      </w:pPr>
      <w:r>
        <w:rPr>
          <w:rFonts w:hint="eastAsia"/>
          <w:lang w:val="en-US" w:eastAsia="zh-CN"/>
        </w:rPr>
        <w:t>技术研发完成延时率：≤5%（季度）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8439"/>
      <w:r>
        <w:rPr>
          <w:rFonts w:hint="eastAsia"/>
          <w:lang w:val="en-US" w:eastAsia="zh-CN"/>
        </w:rPr>
        <w:t>过程管理规划</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为确保运维服务过程的规范性、一致性和可追溯性，2026年公司将按照ITSS标准要求，建立并持续优化运维服务过程管理体系。</w:t>
      </w:r>
    </w:p>
    <w:p>
      <w:pPr>
        <w:pStyle w:val="3"/>
        <w:bidi w:val="0"/>
        <w:rPr>
          <w:rFonts w:hint="eastAsia"/>
          <w:lang w:val="en-US" w:eastAsia="zh-CN"/>
        </w:rPr>
      </w:pPr>
      <w:bookmarkStart w:id="44" w:name="_Toc15798"/>
      <w:r>
        <w:rPr>
          <w:rFonts w:hint="eastAsia"/>
          <w:lang w:val="en-US" w:eastAsia="zh-CN"/>
        </w:rPr>
        <w:t>过程框架管理</w:t>
      </w:r>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根据《运维服务过程框架管理制度》，公司运维服务过程框架分为服务规划与设计、服务部署与实施、服务运营与管理、服务监控与改进四个核心阶段，形成完整的PDCA闭环。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2026年过程框架管理的主要工作：</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运维部负责持续完善运维服务过程框架相关管理制度，结合2025年运行经验进行优化，重点完善跨部门协作流程</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产品质量部每年度组织一次过程框架评价，评估各过程执行的符合性和有效性，形成《过程框架评价报告》</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各过程的执行情况纳入月度服务报告，定期向管理层汇报</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针对2025年内审中发现的过程执行问题（如运维工具效果评估机制不完善），持续跟踪改进措施的落实情况，确保在2026年第一季度完成制度修订和人员培训</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建立过程框架持续优化机制，每季度收集各部门对过程框架的改进建议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KPI指标：过程框架评价次数 ≥1次（年度）</w:t>
      </w:r>
    </w:p>
    <w:p>
      <w:pPr>
        <w:pStyle w:val="3"/>
        <w:bidi w:val="0"/>
        <w:rPr>
          <w:rFonts w:hint="eastAsia"/>
          <w:lang w:val="en-US" w:eastAsia="zh-CN"/>
        </w:rPr>
      </w:pPr>
      <w:bookmarkStart w:id="45" w:name="_Toc9463"/>
      <w:r>
        <w:rPr>
          <w:rFonts w:hint="eastAsia"/>
          <w:lang w:val="en-US" w:eastAsia="zh-CN"/>
        </w:rPr>
        <w:t>服务级别管理</w:t>
      </w:r>
      <w:bookmarkEnd w:id="4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根据《运维服务级别管理制度》，公司建立服务级别管理流程，对运维服务级别进行协商、监控和报告。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2026年服务级别管理的主要工作：</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运维部经理负责制定和更新服务目录，定义和维持有效的服务级别管理流程，2026年重点关注前端设备运维服务的SLA优化</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运维项目经理执行SLA的制定或修订工作，SLA须由客户确认后，提交运维部评审，评审通过后再经管理层评审</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产品质量部每季度对服务级别执行情况进行监控，统计SLA达成率，对未达标的SLA项进行原因分析并制定改进措施</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针对前端设备老化问题，在SLA中增加设备健康度监控指标，与客户协商建立设备更新预警机制</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根据管理评审结果或部门例会决议，识别问题和差距，填写《服务改进计划表》，持续改进服务级别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SLA达成率：≥95%（季度）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SLA评审次数：≥1次（年度）</w:t>
      </w:r>
    </w:p>
    <w:p>
      <w:pPr>
        <w:pStyle w:val="3"/>
        <w:bidi w:val="0"/>
        <w:rPr>
          <w:rFonts w:hint="eastAsia"/>
          <w:lang w:val="en-US" w:eastAsia="zh-CN"/>
        </w:rPr>
      </w:pPr>
      <w:r>
        <w:rPr>
          <w:rFonts w:hint="eastAsia"/>
          <w:lang w:val="en-US" w:eastAsia="zh-CN"/>
        </w:rPr>
        <w:t xml:space="preserve"> </w:t>
      </w:r>
      <w:bookmarkStart w:id="46" w:name="_Toc16056"/>
      <w:r>
        <w:rPr>
          <w:rFonts w:hint="eastAsia"/>
          <w:lang w:val="en-US" w:eastAsia="zh-CN"/>
        </w:rPr>
        <w:t>服务报告管理</w:t>
      </w:r>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根据《运维服务报告管理制度》，公司建立标准化的服务报告管理机制，确保服务报告的及时性、准确性和完整性。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2026年服务报告管理的主要工作：</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运维项目经理负责按照固定格式和周期编制服务报告，包括日常运维报告（每周）、服务级别报告（每月）、季度服务报告（每季度）、年度服务报告（每年）以及重大事件报告、专项改进报告等</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产品质量部每季度组织服务报告管理过程的评审，从及时性、准确性、完整性、可读性、分析深度等维度进行评估</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服务报告按照分发矩阵提交给客户、管理层、产品质量部等相关方，重要报告需确认对方已接收</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基于2025年服务报告交付及时率100%、准确率100%的良好基础，2026年继续保持高标准要求，并增加报告的数据分析深度</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在季度服务报告中增加前端设备运行趋势分析和用户操作熟练度评估内容，为设备更新和用户培训提供数据支撑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服务报告交付及时率：≥95%（季度）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服务报告准确率：≥98%（季度）</w:t>
      </w:r>
    </w:p>
    <w:p>
      <w:pPr>
        <w:pStyle w:val="3"/>
        <w:bidi w:val="0"/>
        <w:rPr>
          <w:rFonts w:hint="eastAsia"/>
          <w:lang w:val="en-US" w:eastAsia="zh-CN"/>
        </w:rPr>
      </w:pPr>
      <w:bookmarkStart w:id="47" w:name="_Toc18846"/>
      <w:r>
        <w:rPr>
          <w:rFonts w:hint="eastAsia"/>
          <w:lang w:val="en-US" w:eastAsia="zh-CN"/>
        </w:rPr>
        <w:t>事件管理</w:t>
      </w:r>
      <w:bookmarkEnd w:id="4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根据《运维服务事件管理制度》，公司建立标准化的服务事件管理流程，确保事件能够快速响应和有效解决。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2026年事件管理的主要工作：</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服务台作为事件统一受理窗口，7×24小时接收客户事件请求</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事件根据影响范围和紧急程度分为一级、二级、三级，各级事件规定相应的响应时间和处理时间要求</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当事件在规定时间内未能解决时，按升级时间要求（进行升级处理</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事件解决后，服务台进行客户回访，确认事件解决效果并收集满意度</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每月统计事件处理情况，分析事件趋势，识别高频事件类型，重点关注前端设备故障和网络波动类事件，为问题管理提供输入</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建立事件复盘机制，对典型事件进行月度复盘分析，形成案例并在团队内分享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事件解决率：≥95%（季度）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一线解决率：≥70%（月度）</w:t>
      </w:r>
    </w:p>
    <w:p>
      <w:pPr>
        <w:pStyle w:val="3"/>
        <w:bidi w:val="0"/>
        <w:rPr>
          <w:rFonts w:hint="eastAsia"/>
          <w:lang w:val="en-US" w:eastAsia="zh-CN"/>
        </w:rPr>
      </w:pPr>
      <w:bookmarkStart w:id="48" w:name="_Toc3164"/>
      <w:r>
        <w:rPr>
          <w:rFonts w:hint="eastAsia"/>
          <w:lang w:val="en-US" w:eastAsia="zh-CN"/>
        </w:rPr>
        <w:t>问题管理</w:t>
      </w:r>
      <w:bookmarkEnd w:id="4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根据《运维服务问题管理制度》，公司建立问题管理流程，通过分析事件的根本原因，防止同类事件再次发生。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2026年问题管理的主要工作：</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当事件原因不明、同一事件频繁发生（一周内发生3次以上）、事件影响重大时，由事件管理流程触发问题管理流程</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研发部经理作为问题管理负责人，负责分派问题并跟踪解决</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问题分析采用5W1H、鱼骨图、故障树等方法进行根本原因分析</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问题解决后，将解决方案录入知识库，形成知识沉淀</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问题管理负责人每月进行问题汇总分析，结果作为服务报告的输入</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重点关注2025年识别的高频问题类型：前端设备老化故障、网络稳定性波动，组织专项问题分析，推动根本性解决</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建立问题解决效果跟踪机制，在问题关闭后3个月内持续监控同类事件发生率，评估问题解决效果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KPI指标：问题解决率 ≥90%（季度）</w:t>
      </w:r>
    </w:p>
    <w:p>
      <w:pPr>
        <w:pStyle w:val="3"/>
        <w:bidi w:val="0"/>
        <w:rPr>
          <w:rFonts w:hint="eastAsia"/>
          <w:lang w:val="en-US" w:eastAsia="zh-CN"/>
        </w:rPr>
      </w:pPr>
      <w:bookmarkStart w:id="49" w:name="_Toc5632"/>
      <w:r>
        <w:rPr>
          <w:rFonts w:hint="eastAsia"/>
          <w:lang w:val="en-US" w:eastAsia="zh-CN"/>
        </w:rPr>
        <w:t>变更管理</w:t>
      </w:r>
      <w:bookmarkEnd w:id="4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根据《运维服务变更管理制度》，公司建立变更管理流程，对所有对运维服务环境有影响的变更进行管理和控制。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2026年变更管理的主要工作：</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变更分为一般变更、重大变更、紧急变更三类，不同类型的变更执行不同的审批流程</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变更方案必须包含回退计划，明确回退触发条件、回退操作步骤、回退负责人、回退验证方法等</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重大变更和紧急变更由变更管理委员会（CAB）进行评估和决策，CAB成员包括运维部经理、研发部经理、产品质量部经理、总经理/副总经理、客户代表</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变更完成后，变更管理负责人每季度对变更数量进行统计，分析变更过程存在的问题，形成变更服务报告</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针对2025年应急演练中发现的备用服务器配置差异问题，建立变更后的配置一致性检查机制，确保主备环境配置同步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KPI指标：变更成功率 ≥92%（季度）</w:t>
      </w:r>
    </w:p>
    <w:p>
      <w:pPr>
        <w:pStyle w:val="3"/>
        <w:bidi w:val="0"/>
        <w:rPr>
          <w:rFonts w:hint="eastAsia"/>
          <w:lang w:val="en-US" w:eastAsia="zh-CN"/>
        </w:rPr>
      </w:pPr>
      <w:bookmarkStart w:id="50" w:name="_Toc20206"/>
      <w:r>
        <w:rPr>
          <w:rFonts w:hint="eastAsia"/>
          <w:lang w:val="en-US" w:eastAsia="zh-CN"/>
        </w:rPr>
        <w:t>发布管理</w:t>
      </w:r>
      <w:bookmarkEnd w:id="5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根据《运维服务发布管理制度》，公司建立发布管理流程，确保软件和硬件的变更经过测试验证后有序发布。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2026年发布管理的主要工作：</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发布管理负责人根据变更计划制定《发布方案》，发布方案必须包含回退计划</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发布方案需经发布管理负责人（运维部经理）牵头评审，评审通过后方可实施</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发布前应对程序和数据进行备份，部署完成后进行验证，验证不成功则按计划执行回退</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发布完成后，发布管理负责人收集发布引起的事件或问题数量、发布数量等数据，进行分析并编写《发布报告》，作为服务报告的一部分</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针对2026年研发规划中的自动化巡检工具、数据完整性校验工具等新功能发布，建立分批次、分项目的灰度发布机制，降低发布风险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KPI指标：发布成功率 ≥95%（季度）</w:t>
      </w:r>
    </w:p>
    <w:p>
      <w:pPr>
        <w:pStyle w:val="3"/>
        <w:bidi w:val="0"/>
        <w:rPr>
          <w:rFonts w:hint="eastAsia"/>
          <w:lang w:val="en-US" w:eastAsia="zh-CN"/>
        </w:rPr>
      </w:pPr>
      <w:bookmarkStart w:id="51" w:name="_Toc65"/>
      <w:r>
        <w:rPr>
          <w:rFonts w:hint="eastAsia"/>
          <w:lang w:val="en-US" w:eastAsia="zh-CN"/>
        </w:rPr>
        <w:t>配置管理</w:t>
      </w:r>
      <w:bookmarkEnd w:id="5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根据《运维服务配置管理制度》，公司建立配置管理流程，通过配置管理数据库（CMDB）对配置项进行统一管理。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2026年配置管理的主要工作：</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配置项范围涵盖文档信息、软件信息、硬件信息、其他信息（供应商信息、备件信息等）</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硬件运维工程师、软件运维工程师、备件库专员分别负责对应配置项的录入和维护</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配置项状态包括开发中、测试中、运行中、废弃</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每年至少进行一次配置审计和验证，发生重大变更、新服务上线、发现配置信息与实际情况不符时追加审计</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配置管理员每月整理配置管理数据库的信息，编写《配置管理报告》</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针对2025年应急演练中发现的备份服务器配置差异问题，建立主备配置项的一致性管理机制，每月进行配置比对</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将前端设备信息（收银机型号、使用年限、维保记录等）纳入配置管理数据库，为设备更新评估提供数据支撑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配置数据准确率：≥95%（季度）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配置项覆盖率：≥95%（季度）</w:t>
      </w:r>
    </w:p>
    <w:p>
      <w:pPr>
        <w:pStyle w:val="3"/>
        <w:bidi w:val="0"/>
        <w:rPr>
          <w:rFonts w:hint="eastAsia"/>
          <w:lang w:val="en-US" w:eastAsia="zh-CN"/>
        </w:rPr>
      </w:pPr>
      <w:bookmarkStart w:id="52" w:name="_Toc32482"/>
      <w:r>
        <w:rPr>
          <w:rFonts w:hint="eastAsia"/>
          <w:lang w:val="en-US" w:eastAsia="zh-CN"/>
        </w:rPr>
        <w:t>可用性和连续性管理</w:t>
      </w:r>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根据《服务可用性和连续性管理制度》，公司建立服务可用性和连续性管理流程，确保关键服务达到约定的可用性目标。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2026年可用性和连续性管理的主要工作：</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副总经理作为服务可用性和连续性管理负责人，统筹应急管理工作</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运维部经理作为日常可用性管理负责人，负责服务可用性目标的制定和分解，日常可用性监控和分析</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通过监控工具7×24小时实时监测系统运行状态，当监控指标触发预警阈值时，监控系统自动发送告警</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针对2025年网络稳定性波动问题，加强网络监控，建立网络性能基线，每月输出网络质量分析报告</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定期组织应急演练，验证应急预案有效性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服务可用性达标率：≥99%（年度）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服务异常中断次数：≤2次（年度）</w:t>
      </w:r>
    </w:p>
    <w:p>
      <w:pPr>
        <w:pStyle w:val="3"/>
        <w:bidi w:val="0"/>
        <w:rPr>
          <w:rFonts w:hint="eastAsia"/>
          <w:lang w:val="en-US" w:eastAsia="zh-CN"/>
        </w:rPr>
      </w:pPr>
      <w:bookmarkStart w:id="53" w:name="_Toc5733"/>
      <w:r>
        <w:rPr>
          <w:rFonts w:hint="eastAsia"/>
          <w:lang w:val="en-US" w:eastAsia="zh-CN"/>
        </w:rPr>
        <w:t>容量管理</w:t>
      </w:r>
      <w:bookmarkEnd w:id="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根据《运维服务容量管理制度》，公司建立容量管理流程，确保IT基础设施和服务能力与业务需求相匹配。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2026年容量管理的主要工作：</w:t>
      </w:r>
    </w:p>
    <w:p>
      <w:pPr>
        <w:pStyle w:val="a1"/>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容量管理范围涵盖计算资源（服务器、虚拟机）、存储资源、网络资源、数据库资源、应用系统、前端设备</w:t>
      </w:r>
    </w:p>
    <w:p>
      <w:pPr>
        <w:pStyle w:val="a1"/>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容量监控人员按照容量管理计划执行日常容量监控，关键容量指标包括CPU使用率、内存使用率、磁盘使用率等，较2025年适当收紧预警阈值</w:t>
      </w:r>
    </w:p>
    <w:p>
      <w:pPr>
        <w:pStyle w:val="a1"/>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每月进行容量分析，识别容量趋势、瓶颈和潜在风险</w:t>
      </w:r>
    </w:p>
    <w:p>
      <w:pPr>
        <w:pStyle w:val="a1"/>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容量调整通过变更管理流程执行</w:t>
      </w:r>
    </w:p>
    <w:p>
      <w:pPr>
        <w:pStyle w:val="a1"/>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针对前端设备老化问题，每季度评估前端设备性能和使用年限，输出《前端设备健康度评估报告》，提出设备更新或升级建议</w:t>
      </w:r>
    </w:p>
    <w:p>
      <w:pPr>
        <w:pStyle w:val="a1"/>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建立容量预测模型，基于历史数据对关键资源的容量趋势进行预测，提前识别容量风险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KPI指标：容量报告及时性 ≥95%（季度）</w:t>
      </w:r>
    </w:p>
    <w:p>
      <w:pPr>
        <w:pStyle w:val="3"/>
        <w:bidi w:val="0"/>
        <w:rPr>
          <w:rFonts w:hint="eastAsia"/>
          <w:lang w:val="en-US" w:eastAsia="zh-CN"/>
        </w:rPr>
      </w:pPr>
      <w:bookmarkStart w:id="54" w:name="_Toc29724"/>
      <w:r>
        <w:rPr>
          <w:rFonts w:hint="eastAsia"/>
          <w:lang w:val="en-US" w:eastAsia="zh-CN"/>
        </w:rPr>
        <w:t>信息安全管理</w:t>
      </w:r>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根据《运维服务信息安全管理制度》，公司建立信息安全管理流程，确保服务的安全性满足客户约定的级别。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2026年信息安全管理的主要工作：</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遵循公司“统一规划、分级管理、积极防范、人人有责”的安全方针</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每年至少进行一次信息安全风险评估，识别信息资产、评估面临的威胁和脆弱性，确定风险等级</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制定《信息安全管理规范》，覆盖人员安全、访问控制、数据安全、系统安全、网络安全、物理安全、应急响应七类规范</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每半年组织一次安全培训，确保运维人员了解安全政策和操作规范，培训覆盖率和考核通过率均要求达到100%</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基于2025年安全培训覆盖率100%、信息安全事故0次的良好基础，2026年继续保持高标准要求</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建立安全事件应急响应机制，明确安全事件的报告路径和处置流程</w:t>
      </w:r>
    </w:p>
    <w:p>
      <w:pPr>
        <w:pStyle w:val="a1"/>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针对2026年研发的新工具（自动化巡检工具、数据完整性校验工具），在上线前完成安全评估，确保工具本身的安全性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安全培训覆盖率：≥95%（年度）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信息安全事故数量：≤1次（年度）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4834"/>
      <w:r>
        <w:rPr>
          <w:rFonts w:hint="eastAsia"/>
          <w:lang w:val="en-US" w:eastAsia="zh-CN"/>
        </w:rPr>
        <w:t>交付管理规划</w:t>
      </w:r>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根据《运维服务交付管理制度》，公司采用PDCA循环管理模式，通过交付策划、交付实施、交付检查、交付改进四个核心环节，实现服务交付质量的闭环管控。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6" w:name="_Toc24765"/>
      <w:r>
        <w:rPr>
          <w:rFonts w:hint="eastAsia"/>
          <w:lang w:val="en-US" w:eastAsia="zh-CN"/>
        </w:rPr>
        <w:t>交付策划</w:t>
      </w:r>
      <w:bookmarkEnd w:id="56"/>
    </w:p>
    <w:p>
      <w:pPr>
        <w:pStyle w:val="a1"/>
        <w:numPr>
          <w:ilvl w:val="0"/>
          <w:numId w:val="24"/>
        </w:numPr>
        <w:ind w:left="425" w:hanging="425" w:leftChars="0" w:firstLineChars="0"/>
        <w:rPr>
          <w:rFonts w:hint="eastAsia"/>
          <w:lang w:val="en-US" w:eastAsia="zh-CN"/>
        </w:rPr>
      </w:pPr>
      <w:r>
        <w:rPr>
          <w:rFonts w:hint="eastAsia"/>
          <w:lang w:val="en-US" w:eastAsia="zh-CN"/>
        </w:rPr>
        <w:t>项目启动时与客户召开项目交底会，明确服务范围、SLA指标、沟通机制、应急联络方式，形成《项目交底会议纪要》</w:t>
      </w:r>
    </w:p>
    <w:p>
      <w:pPr>
        <w:pStyle w:val="a1"/>
        <w:numPr>
          <w:ilvl w:val="0"/>
          <w:numId w:val="24"/>
        </w:numPr>
        <w:ind w:left="425" w:hanging="425" w:leftChars="0" w:firstLineChars="0"/>
        <w:rPr>
          <w:rFonts w:hint="eastAsia"/>
          <w:lang w:val="en-US" w:eastAsia="zh-CN"/>
        </w:rPr>
      </w:pPr>
      <w:r>
        <w:rPr>
          <w:rFonts w:hint="eastAsia"/>
          <w:lang w:val="en-US" w:eastAsia="zh-CN"/>
        </w:rPr>
        <w:t>编制《项目服务总计划》和《运维服务交付计划》，明确里程碑节点、交付物、责任人及验收标准</w:t>
      </w:r>
    </w:p>
    <w:p>
      <w:pPr>
        <w:pStyle w:val="a1"/>
        <w:numPr>
          <w:ilvl w:val="0"/>
          <w:numId w:val="24"/>
        </w:numPr>
        <w:ind w:left="425" w:hanging="425" w:leftChars="0" w:firstLineChars="0"/>
        <w:rPr>
          <w:rFonts w:hint="eastAsia"/>
          <w:lang w:val="en-US" w:eastAsia="zh-CN"/>
        </w:rPr>
      </w:pPr>
      <w:r>
        <w:rPr>
          <w:rFonts w:hint="eastAsia"/>
          <w:lang w:val="en-US" w:eastAsia="zh-CN"/>
        </w:rPr>
        <w:t>组建“一线、二线、三线”三级运维服务体系，明确各岗位职责</w:t>
      </w:r>
    </w:p>
    <w:p>
      <w:pPr>
        <w:pStyle w:val="a1"/>
        <w:numPr>
          <w:ilvl w:val="0"/>
          <w:numId w:val="24"/>
        </w:numPr>
        <w:ind w:left="425" w:hanging="425" w:leftChars="0" w:firstLineChars="0"/>
        <w:rPr>
          <w:rFonts w:hint="eastAsia"/>
          <w:lang w:val="en-US" w:eastAsia="zh-CN"/>
        </w:rPr>
      </w:pPr>
      <w:r>
        <w:rPr>
          <w:rFonts w:hint="eastAsia"/>
          <w:lang w:val="en-US" w:eastAsia="zh-CN"/>
        </w:rPr>
        <w:t>开展全面风险评估，制定《风险管理计划》和专项应急预案</w:t>
      </w:r>
    </w:p>
    <w:p>
      <w:pPr>
        <w:pStyle w:val="a1"/>
        <w:numPr>
          <w:ilvl w:val="0"/>
          <w:numId w:val="24"/>
        </w:numPr>
        <w:ind w:left="425" w:hanging="425" w:leftChars="0" w:firstLineChars="0"/>
        <w:rPr>
          <w:rFonts w:hint="eastAsia"/>
          <w:lang w:val="en-US" w:eastAsia="zh-CN"/>
        </w:rPr>
      </w:pPr>
      <w:r>
        <w:rPr>
          <w:rFonts w:hint="eastAsia"/>
          <w:lang w:val="en-US" w:eastAsia="zh-CN"/>
        </w:rPr>
        <w:t>针对企业门店哈哈哈哈哈哈统一管理系统等重点项目，制定专项交付策划方案，重点关注前端设备运行状况和用户操作熟练度等2025年识别的问题</w:t>
      </w:r>
    </w:p>
    <w:p>
      <w:pPr>
        <w:pStyle w:val="a1"/>
        <w:numPr>
          <w:ilvl w:val="0"/>
          <w:numId w:val="24"/>
        </w:numPr>
        <w:ind w:left="425" w:hanging="425" w:leftChars="0" w:firstLineChars="0"/>
        <w:rPr>
          <w:rFonts w:hint="eastAsia"/>
          <w:lang w:val="en-US" w:eastAsia="zh-CN"/>
        </w:rPr>
      </w:pPr>
      <w:r>
        <w:rPr>
          <w:rFonts w:hint="eastAsia"/>
          <w:lang w:val="en-US" w:eastAsia="zh-CN"/>
        </w:rPr>
        <w:t>在交付策划阶段，与客户协商确定设备更新评估机制和用户进阶培训计划</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17111"/>
      <w:r>
        <w:rPr>
          <w:rFonts w:hint="eastAsia"/>
          <w:lang w:val="en-US" w:eastAsia="zh-CN"/>
        </w:rPr>
        <w:t>交付实施</w:t>
      </w:r>
      <w:bookmarkEnd w:id="5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pPr>
        <w:pStyle w:val="a1"/>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严格遵循服务计划及操作规范，通过工单系统统一受理、派发、处理所有服务请求</w:t>
      </w:r>
    </w:p>
    <w:p>
      <w:pPr>
        <w:pStyle w:val="a1"/>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建立SLA达成情况实时监控机制，每日统计服务响应时间、故障解决率等关键数据</w:t>
      </w:r>
    </w:p>
    <w:p>
      <w:pPr>
        <w:pStyle w:val="a1"/>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严格执行故障处理流程，确保所有故障在规定时限内闭环</w:t>
      </w:r>
    </w:p>
    <w:p>
      <w:pPr>
        <w:pStyle w:val="a1"/>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通过周报、月报、季报等形式，定期向客户及公司管理层同步项目进展、风险状况、服务成果</w:t>
      </w:r>
    </w:p>
    <w:p>
      <w:pPr>
        <w:pStyle w:val="a1"/>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针对2025年识别的前端设备老化问题，在交付实施过程中增加前端设备健康度巡检频次，从每季度一次调整为每月一次</w:t>
      </w:r>
    </w:p>
    <w:p>
      <w:pPr>
        <w:pStyle w:val="a1"/>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针对用户操作熟练度差异问题，在交付实施中增加用户操作辅导环节，对操作不熟练的用户提供一对一指导</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6906"/>
      <w:r>
        <w:rPr>
          <w:rFonts w:hint="eastAsia"/>
          <w:lang w:val="en-US" w:eastAsia="zh-CN"/>
        </w:rPr>
        <w:t>交付检查</w:t>
      </w:r>
      <w:bookmarkEnd w:id="5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pPr>
        <w:pStyle w:val="a1"/>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运维项目经理每月组织项目自查，形成《自查报告》并自行整改，自查内容覆盖服务交付全流程</w:t>
      </w:r>
    </w:p>
    <w:p>
      <w:pPr>
        <w:pStyle w:val="a1"/>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产品质量部经理每季度对重点项目进行全覆盖抽查，填写《交付检查报告》，检查结果作为质量考核依据</w:t>
      </w:r>
    </w:p>
    <w:p>
      <w:pPr>
        <w:pStyle w:val="a1"/>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检查结果及时反馈并纳入问题整改台账跟踪闭环</w:t>
      </w:r>
    </w:p>
    <w:p>
      <w:pPr>
        <w:pStyle w:val="a1"/>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针对检查中发现的共性问题，组织专项分析会议，制定系统性改进措施</w:t>
      </w:r>
    </w:p>
    <w:p>
      <w:pPr>
        <w:pStyle w:val="a1"/>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建立交付检查结果与绩效考核的联动机制，将交付质量纳入相关部门和人员的绩效考核指标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13032"/>
      <w:r>
        <w:rPr>
          <w:rFonts w:hint="eastAsia"/>
          <w:lang w:val="en-US" w:eastAsia="zh-CN"/>
        </w:rPr>
        <w:t>交付改进</w:t>
      </w:r>
      <w:bookmarkEnd w:id="5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pPr>
        <w:pStyle w:val="a1"/>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产品质量部牵头，针对检查报告和客户投诉，组织召开专题分析会，制定改进方案，明确整改措施、时限与责任人</w:t>
      </w:r>
    </w:p>
    <w:p>
      <w:pPr>
        <w:pStyle w:val="a1"/>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定期组织服务复盘会议（每季度至少一次），总结经验教训，形成《服务改进报告》</w:t>
      </w:r>
    </w:p>
    <w:p>
      <w:pPr>
        <w:pStyle w:val="a1"/>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将改进成果固化到服务流程、操作手册、知识库中</w:t>
      </w:r>
    </w:p>
    <w:p>
      <w:pPr>
        <w:pStyle w:val="a1"/>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针对2025年客户满意度调查中反馈的“部分运维人员沟通能力有待提升”问题，在2026年交付改进中纳入沟通技能培训内容</w:t>
      </w:r>
    </w:p>
    <w:p>
      <w:pPr>
        <w:pStyle w:val="a1"/>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建立改进效果验证机制，在改进措施实施后3个月内跟踪相关指标的改善情况，确保改进有效落地</w:t>
      </w:r>
    </w:p>
    <w:p>
      <w:pPr>
        <w:pStyle w:val="a1"/>
        <w:bidi w:val="0"/>
        <w:rPr>
          <w:rFonts w:hint="eastAsia"/>
          <w:lang w:val="en-US" w:eastAsia="zh-CN"/>
        </w:rPr>
      </w:pPr>
      <w:r>
        <w:t>KPI指标</w:t>
      </w:r>
      <w:r>
        <w:rPr>
          <w:rFonts w:hint="default"/>
        </w:rPr>
        <w:t>：交付通过率 ≥96%（年度）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30474"/>
      <w:r>
        <w:rPr>
          <w:rFonts w:hint="eastAsia"/>
          <w:lang w:val="en-US" w:eastAsia="zh-CN"/>
        </w:rPr>
        <w:t>应急管理规划</w:t>
      </w:r>
      <w:bookmarkEnd w:id="6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根据《运维服务应急管理制度》，公司建立统一的应急响应管理体系，确保在突发事件发生时能够快速响应、有效处置。</w:t>
      </w:r>
    </w:p>
    <w:p>
      <w:pPr>
        <w:pStyle w:val="3"/>
        <w:bidi w:val="0"/>
        <w:rPr>
          <w:rFonts w:hint="eastAsia"/>
          <w:lang w:val="en-US" w:eastAsia="zh-CN"/>
        </w:rPr>
      </w:pPr>
      <w:bookmarkStart w:id="61" w:name="_Toc14"/>
      <w:r>
        <w:rPr>
          <w:rFonts w:hint="eastAsia"/>
          <w:lang w:val="en-US" w:eastAsia="zh-CN"/>
        </w:rPr>
        <w:t>应急组织</w:t>
      </w:r>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pPr>
        <w:pStyle w:val="a1"/>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设立三级应急组织体系，包括应急领导小组（副总经理、运维部经理、研发部经理、产品质量部经理）、应急执行小组（运维项目经理、硬件/软件运维工程师、技术支持工程师）、应急支持小组（综合部经理、备件库专员、采购专员）</w:t>
      </w:r>
    </w:p>
    <w:p>
      <w:pPr>
        <w:pStyle w:val="a1"/>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明确各应急岗位的职责分工和汇报关系，确保应急响应时职责清晰、指令畅通</w:t>
      </w:r>
    </w:p>
    <w:p>
      <w:pPr>
        <w:pStyle w:val="a1"/>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每半年组织一次应急组织体系的适用性评估，根据人员变动和业务调整及时更新应急组织成员</w:t>
      </w:r>
    </w:p>
    <w:p>
      <w:pPr>
        <w:pStyle w:val="a1"/>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建立应急联系人通讯录，每季度核实更新一次，确保应急联络信息的准确性</w:t>
      </w:r>
    </w:p>
    <w:p>
      <w:pPr>
        <w:pStyle w:val="3"/>
        <w:bidi w:val="0"/>
        <w:rPr>
          <w:rFonts w:hint="eastAsia"/>
          <w:lang w:val="en-US" w:eastAsia="zh-CN"/>
        </w:rPr>
      </w:pPr>
      <w:bookmarkStart w:id="62" w:name="_Toc14644"/>
      <w:r>
        <w:rPr>
          <w:rFonts w:hint="eastAsia"/>
          <w:lang w:val="en-US" w:eastAsia="zh-CN"/>
        </w:rPr>
        <w:t>应急预案</w:t>
      </w:r>
      <w:bookmarkEnd w:id="6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pPr>
        <w:pStyle w:val="a1"/>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每个运维项目至少制定一份《应急预案》，涵盖项目核心系统，包括适用范围、应急组织架构及职责、风险场景及对应处置流程、联络方式、资源清单、恢复步骤、回退方案等</w:t>
      </w:r>
    </w:p>
    <w:p>
      <w:pPr>
        <w:pStyle w:val="a1"/>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应急预案由运维项目经理组织编写，经运维部经理审核、副总经理批准后发布执行</w:t>
      </w:r>
    </w:p>
    <w:p>
      <w:pPr>
        <w:pStyle w:val="a1"/>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每年至少评审一次应急预案，根据风险评估结果、演练总结、实际事件处置经验进行修订</w:t>
      </w:r>
    </w:p>
    <w:p>
      <w:pPr>
        <w:pStyle w:val="a1"/>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针对2025年应急演练中发现的问题（备用服务器配置差异、数据库恢复文档不详细、备用线路延迟偏高、备件领用流程耗时），在2026年应急预案修订中逐一落实改进</w:t>
      </w:r>
    </w:p>
    <w:p>
      <w:pPr>
        <w:pStyle w:val="a1"/>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增加针对前端设备批量故障、网络骨干中断等复杂场景的应急预案，提升应急准备的全面性</w:t>
      </w:r>
    </w:p>
    <w:p>
      <w:pPr>
        <w:pStyle w:val="a1"/>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应急预案发布后，组织相关人员进行培训和宣贯，确保应急人员熟悉预案内容和自身职责</w:t>
      </w:r>
    </w:p>
    <w:p>
      <w:pPr>
        <w:pStyle w:val="3"/>
        <w:bidi w:val="0"/>
        <w:rPr>
          <w:rFonts w:hint="eastAsia"/>
          <w:lang w:val="en-US" w:eastAsia="zh-CN"/>
        </w:rPr>
      </w:pPr>
      <w:bookmarkStart w:id="63" w:name="_Toc21471"/>
      <w:r>
        <w:rPr>
          <w:rFonts w:hint="eastAsia"/>
          <w:lang w:val="en-US" w:eastAsia="zh-CN"/>
        </w:rPr>
        <w:t>应急响应</w:t>
      </w:r>
      <w:bookmarkEnd w:id="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pPr>
        <w:pStyle w:val="a1"/>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应急响应流程分为监测与预警、先期处置、应急启动、应急处置、应急终止五个阶段</w:t>
      </w:r>
    </w:p>
    <w:p>
      <w:pPr>
        <w:pStyle w:val="a1"/>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一线工程师接到告警后应在15分钟内响应，若在30分钟内无法恢复或事件影响重大，应立即上报运维项目经理和副总经理</w:t>
      </w:r>
    </w:p>
    <w:p>
      <w:pPr>
        <w:pStyle w:val="a1"/>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应急处置过程中，重大事件每30分钟向客户和管理层通报一次进展</w:t>
      </w:r>
    </w:p>
    <w:p>
      <w:pPr>
        <w:pStyle w:val="a1"/>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建立应急响应分级机制，根据事件影响范围和紧急程度，启动不同级别的应急响应流程</w:t>
      </w:r>
    </w:p>
    <w:p>
      <w:pPr>
        <w:pStyle w:val="a1"/>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针对2025年备件领用流程耗时问题，优化紧急备件领用审批流程，建立常用备件预授权机制，将备件领用时间缩短30%</w:t>
      </w:r>
    </w:p>
    <w:p>
      <w:pPr>
        <w:pStyle w:val="a1"/>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建立应急响应事后复盘机制，每次应急事件处置结束后7个工作日内完成复盘分析，形成《应急事件复盘报告》</w:t>
      </w:r>
    </w:p>
    <w:p>
      <w:pPr>
        <w:pStyle w:val="3"/>
        <w:bidi w:val="0"/>
        <w:rPr>
          <w:rFonts w:hint="eastAsia"/>
          <w:lang w:val="en-US" w:eastAsia="zh-CN"/>
        </w:rPr>
      </w:pPr>
      <w:bookmarkStart w:id="64" w:name="_Toc10614"/>
      <w:r>
        <w:rPr>
          <w:rFonts w:hint="eastAsia"/>
          <w:lang w:val="en-US" w:eastAsia="zh-CN"/>
        </w:rPr>
        <w:t>应急演练</w:t>
      </w:r>
      <w:bookmarkEnd w:id="6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pPr>
        <w:pStyle w:val="a1"/>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eastAsia"/>
          <w:lang w:val="en-US" w:eastAsia="zh-CN"/>
        </w:rPr>
        <w:t>按时组织应急演练</w:t>
      </w:r>
    </w:p>
    <w:p>
      <w:pPr>
        <w:pStyle w:val="a1"/>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演练前制定《应急演练计划》，明确演练目标、场景、参与人员、物资准备</w:t>
      </w:r>
    </w:p>
    <w:p>
      <w:pPr>
        <w:pStyle w:val="a1"/>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演练过程全程记录，演练后组织复盘，评估演练效果，形成《应急演练总结报告》</w:t>
      </w:r>
    </w:p>
    <w:p>
      <w:pPr>
        <w:pStyle w:val="a1"/>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2026年应急演练计划安排：</w:t>
      </w:r>
    </w:p>
    <w:p>
      <w:pPr>
        <w:pStyle w:val="a1"/>
        <w:keepNext w:val="0"/>
        <w:keepLines w:val="0"/>
        <w:pageBreakBefore w:val="0"/>
        <w:widowControl w:val="0"/>
        <w:numPr>
          <w:ilvl w:val="0"/>
          <w:numId w:val="32"/>
        </w:numPr>
        <w:kinsoku w:val="0"/>
        <w:wordWrap/>
        <w:overflowPunct/>
        <w:topLinePunct w:val="0"/>
        <w:autoSpaceDE w:val="0"/>
        <w:autoSpaceDN w:val="0"/>
        <w:bidi w:val="0"/>
        <w:adjustRightInd w:val="0"/>
        <w:snapToGrid w:val="0"/>
        <w:ind w:left="845" w:hanging="425" w:leftChars="0" w:firstLineChars="0"/>
        <w:textAlignment w:val="baseline"/>
        <w:rPr>
          <w:rFonts w:hint="eastAsia"/>
          <w:lang w:val="en-US" w:eastAsia="zh-CN"/>
        </w:rPr>
      </w:pPr>
      <w:r>
        <w:rPr>
          <w:rFonts w:hint="eastAsia"/>
          <w:lang w:val="en-US" w:eastAsia="zh-CN"/>
        </w:rPr>
        <w:t>2026年6月：组织一次综合实战演练，模拟服务器硬件故障+数据库损坏+网络中断的复合场景</w:t>
      </w:r>
    </w:p>
    <w:p>
      <w:pPr>
        <w:pStyle w:val="a1"/>
        <w:keepNext w:val="0"/>
        <w:keepLines w:val="0"/>
        <w:pageBreakBefore w:val="0"/>
        <w:widowControl w:val="0"/>
        <w:numPr>
          <w:ilvl w:val="0"/>
          <w:numId w:val="32"/>
        </w:numPr>
        <w:kinsoku w:val="0"/>
        <w:wordWrap/>
        <w:overflowPunct/>
        <w:topLinePunct w:val="0"/>
        <w:autoSpaceDE w:val="0"/>
        <w:autoSpaceDN w:val="0"/>
        <w:bidi w:val="0"/>
        <w:adjustRightInd w:val="0"/>
        <w:snapToGrid w:val="0"/>
        <w:ind w:left="845" w:hanging="425" w:leftChars="0" w:firstLineChars="0"/>
        <w:textAlignment w:val="baseline"/>
        <w:rPr>
          <w:rFonts w:hint="eastAsia"/>
          <w:lang w:val="en-US" w:eastAsia="zh-CN"/>
        </w:rPr>
      </w:pPr>
      <w:r>
        <w:rPr>
          <w:rFonts w:hint="eastAsia"/>
          <w:lang w:val="en-US" w:eastAsia="zh-CN"/>
        </w:rPr>
        <w:t>2026年12月：组织一次专项桌面推演，模拟前端设备批量故障场景</w:t>
      </w:r>
    </w:p>
    <w:p>
      <w:pPr>
        <w:pStyle w:val="a1"/>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针对2025年演练中发现的问题，在2026年演练中重点验证改进措施的落实情况，包括主备配置一致性、数据库恢复文档可用性、备用线路性能、备件领用效率等</w:t>
      </w:r>
    </w:p>
    <w:p>
      <w:pPr>
        <w:pStyle w:val="a1"/>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邀请客户代表参与应急演练，增强客户对应急响应能力的了解和信任</w:t>
      </w:r>
    </w:p>
    <w:p>
      <w:pPr>
        <w:pStyle w:val="a1"/>
        <w:bidi w:val="0"/>
        <w:rPr>
          <w:rFonts w:hint="eastAsia"/>
          <w:lang w:val="en-US" w:eastAsia="zh-CN"/>
        </w:rPr>
      </w:pPr>
      <w:r>
        <w:rPr>
          <w:rFonts w:hint="eastAsia"/>
          <w:lang w:val="en-US" w:eastAsia="zh-CN"/>
        </w:rPr>
        <w:t>KPI指标：</w:t>
      </w:r>
    </w:p>
    <w:p>
      <w:pPr>
        <w:pStyle w:val="a1"/>
        <w:bidi w:val="0"/>
        <w:rPr>
          <w:rFonts w:hint="eastAsia"/>
          <w:lang w:val="en-US" w:eastAsia="zh-CN"/>
        </w:rPr>
      </w:pPr>
      <w:r>
        <w:t>应急演练次数：≥</w:t>
      </w:r>
      <w:r>
        <w:rPr>
          <w:rFonts w:hint="eastAsia"/>
          <w:lang w:val="en-US" w:eastAsia="zh-CN"/>
        </w:rPr>
        <w:t>1</w:t>
      </w:r>
      <w:r>
        <w:t>次（年度）</w:t>
      </w:r>
    </w:p>
    <w:p>
      <w:pPr>
        <w:pStyle w:val="1"/>
        <w:bidi w:val="0"/>
        <w:rPr>
          <w:rFonts w:hint="eastAsia"/>
          <w:lang w:val="en-US" w:eastAsia="zh-CN"/>
        </w:rPr>
      </w:pPr>
      <w:bookmarkStart w:id="65" w:name="_Toc4120"/>
      <w:bookmarkStart w:id="66" w:name="_Toc25800"/>
      <w:r>
        <w:rPr>
          <w:rFonts w:hint="eastAsia"/>
          <w:lang w:val="en-US" w:eastAsia="zh-CN"/>
        </w:rPr>
        <w:t>质量管理</w:t>
      </w:r>
      <w:bookmarkEnd w:id="65"/>
    </w:p>
    <w:p>
      <w:pPr>
        <w:pStyle w:val="2"/>
        <w:bidi w:val="0"/>
        <w:rPr>
          <w:rFonts w:hint="eastAsia"/>
          <w:lang w:val="en-US" w:eastAsia="zh-CN"/>
        </w:rPr>
      </w:pPr>
      <w:bookmarkStart w:id="67" w:name="_Toc23917"/>
      <w:r>
        <w:rPr>
          <w:rFonts w:hint="eastAsia"/>
          <w:lang w:val="en-US" w:eastAsia="zh-CN"/>
        </w:rPr>
        <w:t>质量管理计划</w:t>
      </w:r>
      <w:bookmarkEnd w:id="66"/>
      <w:bookmarkEnd w:id="67"/>
    </w:p>
    <w:p>
      <w:pPr>
        <w:pStyle w:val="3"/>
        <w:bidi w:val="0"/>
        <w:rPr>
          <w:rFonts w:hint="eastAsia"/>
          <w:lang w:val="en-US" w:eastAsia="zh-CN"/>
        </w:rPr>
      </w:pPr>
      <w:bookmarkStart w:id="68" w:name="_Toc2926"/>
      <w:bookmarkStart w:id="69" w:name="_Toc2194"/>
      <w:r>
        <w:rPr>
          <w:rFonts w:hint="eastAsia"/>
          <w:lang w:val="en-US" w:eastAsia="zh-CN"/>
        </w:rPr>
        <w:t>质量管理计划制定</w:t>
      </w:r>
      <w:bookmarkEnd w:id="68"/>
      <w:bookmarkEnd w:id="69"/>
    </w:p>
    <w:p>
      <w:pPr>
        <w:pStyle w:val="a1"/>
        <w:bidi w:val="0"/>
        <w:rPr>
          <w:rFonts w:eastAsia="宋体" w:hint="eastAsia"/>
          <w:lang w:val="en-US" w:eastAsia="zh-CN"/>
        </w:rPr>
      </w:pPr>
      <w:r>
        <w:rPr>
          <w:rFonts w:eastAsia="宋体" w:hint="eastAsia"/>
          <w:lang w:val="en-US" w:eastAsia="zh-CN"/>
        </w:rPr>
        <w:t>产品质量部于2026年1月制定本年度《2026年度运维服务质量管理计划》，合理规划运维服务各阶段服务活动的范围、时间等指标，确保与服务计划相一致。</w:t>
      </w:r>
    </w:p>
    <w:p>
      <w:pPr>
        <w:pStyle w:val="a1"/>
        <w:bidi w:val="0"/>
        <w:rPr>
          <w:rFonts w:eastAsia="宋体" w:hint="eastAsia"/>
          <w:lang w:val="en-US" w:eastAsia="zh-CN"/>
        </w:rPr>
      </w:pPr>
      <w:r>
        <w:rPr>
          <w:rFonts w:eastAsia="宋体" w:hint="eastAsia"/>
          <w:lang w:val="en-US" w:eastAsia="zh-CN"/>
        </w:rPr>
        <w:t>《2026年度运维服务质量管理计划》包括以下内容：</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明确质量管理的目的、范围及质量管理计划与其他服务计划的关系</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描述质量管理的组织、权限和责任</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明确要对哪些过程和服务进行质量检查审计</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确定产品质量部如何对服务过程和服务的符合性进行验证</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质量检查的时间安排和频次</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质量培训计划</w:t>
      </w:r>
    </w:p>
    <w:p>
      <w:pPr>
        <w:pStyle w:val="a1"/>
        <w:numPr>
          <w:ilvl w:val="0"/>
          <w:numId w:val="33"/>
        </w:numPr>
        <w:bidi w:val="0"/>
        <w:ind w:left="425" w:hanging="425" w:leftChars="0" w:firstLineChars="0"/>
        <w:rPr>
          <w:rFonts w:eastAsia="宋体" w:hint="eastAsia"/>
          <w:lang w:val="en-US" w:eastAsia="zh-CN"/>
        </w:rPr>
      </w:pPr>
      <w:r>
        <w:rPr>
          <w:rFonts w:eastAsia="宋体" w:hint="eastAsia"/>
          <w:lang w:val="en-US" w:eastAsia="zh-CN"/>
        </w:rPr>
        <w:t>质量目标及KPI指标</w:t>
      </w:r>
    </w:p>
    <w:p>
      <w:pPr>
        <w:pStyle w:val="3"/>
        <w:bidi w:val="0"/>
        <w:rPr>
          <w:rFonts w:hint="eastAsia"/>
          <w:lang w:val="en-US" w:eastAsia="zh-CN"/>
        </w:rPr>
      </w:pPr>
      <w:bookmarkStart w:id="70" w:name="_Toc28852"/>
      <w:bookmarkStart w:id="71" w:name="_Toc12892"/>
      <w:r>
        <w:rPr>
          <w:rFonts w:hint="eastAsia"/>
          <w:lang w:val="en-US" w:eastAsia="zh-CN"/>
        </w:rPr>
        <w:t>质量管理计划评审</w:t>
      </w:r>
      <w:bookmarkEnd w:id="70"/>
      <w:bookmarkEnd w:id="71"/>
    </w:p>
    <w:p>
      <w:pPr>
        <w:pStyle w:val="a1"/>
        <w:bidi w:val="0"/>
        <w:rPr>
          <w:rFonts w:eastAsia="宋体" w:hint="eastAsia"/>
          <w:lang w:val="en-US" w:eastAsia="zh-CN"/>
        </w:rPr>
      </w:pPr>
      <w:r>
        <w:rPr>
          <w:rFonts w:eastAsia="宋体" w:hint="eastAsia"/>
          <w:lang w:val="en-US" w:eastAsia="zh-CN"/>
        </w:rPr>
        <w:t>《2026年度运维服务质量管理计划》编制完成后，提交管理层进行内部评审。评审通过后，按该质量管理计划进行全年质量管理工作。评审意见和结论应形成记录并归档。</w:t>
      </w:r>
    </w:p>
    <w:p>
      <w:pPr>
        <w:pStyle w:val="2"/>
        <w:bidi w:val="0"/>
        <w:rPr>
          <w:rFonts w:hint="eastAsia"/>
          <w:lang w:val="en-US" w:eastAsia="zh-CN"/>
        </w:rPr>
      </w:pPr>
      <w:bookmarkStart w:id="72" w:name="_Toc4593"/>
      <w:bookmarkStart w:id="73" w:name="_Toc26498"/>
      <w:r>
        <w:rPr>
          <w:rFonts w:hint="eastAsia"/>
          <w:lang w:val="en-US" w:eastAsia="zh-CN"/>
        </w:rPr>
        <w:t>运维服务质量检查</w:t>
      </w:r>
      <w:bookmarkEnd w:id="72"/>
      <w:bookmarkEnd w:id="73"/>
    </w:p>
    <w:p>
      <w:pPr>
        <w:pStyle w:val="a1"/>
        <w:bidi w:val="0"/>
        <w:rPr>
          <w:rFonts w:eastAsia="宋体" w:hint="eastAsia"/>
          <w:lang w:val="en-US" w:eastAsia="zh-CN"/>
        </w:rPr>
      </w:pPr>
      <w:r>
        <w:rPr>
          <w:rFonts w:eastAsia="宋体" w:hint="eastAsia"/>
          <w:lang w:val="en-US" w:eastAsia="zh-CN"/>
        </w:rPr>
        <w:t>运维服务质量检查分为组织级质量检查和项目级质量检查两种形式。</w:t>
      </w:r>
    </w:p>
    <w:p>
      <w:pPr>
        <w:pStyle w:val="a1"/>
        <w:numPr>
          <w:ilvl w:val="0"/>
          <w:numId w:val="34"/>
        </w:numPr>
        <w:bidi w:val="0"/>
        <w:ind w:left="425" w:hanging="425" w:leftChars="0" w:firstLineChars="0"/>
        <w:rPr>
          <w:rFonts w:eastAsia="宋体" w:hint="eastAsia"/>
          <w:lang w:val="en-US" w:eastAsia="zh-CN"/>
        </w:rPr>
      </w:pPr>
      <w:r>
        <w:rPr>
          <w:rFonts w:eastAsia="宋体" w:hint="eastAsia"/>
          <w:lang w:val="en-US" w:eastAsia="zh-CN"/>
        </w:rPr>
        <w:t>组织级质量检查：</w:t>
      </w:r>
    </w:p>
    <w:p>
      <w:pPr>
        <w:pStyle w:val="a1"/>
        <w:numPr>
          <w:ilvl w:val="0"/>
          <w:numId w:val="0"/>
        </w:numPr>
        <w:bidi w:val="0"/>
        <w:ind w:left="420" w:leftChars="0"/>
        <w:rPr>
          <w:rFonts w:eastAsia="宋体" w:hint="eastAsia"/>
          <w:lang w:val="en-US" w:eastAsia="zh-CN"/>
        </w:rPr>
      </w:pPr>
      <w:r>
        <w:rPr>
          <w:rFonts w:eastAsia="宋体" w:hint="eastAsia"/>
          <w:lang w:val="en-US" w:eastAsia="zh-CN"/>
        </w:rPr>
        <w:t>产品质量部每季度对组织级的运维服务质量进行审计，主要对运维服务内容和服务过程进行检查，内容包括：</w:t>
      </w:r>
    </w:p>
    <w:p>
      <w:pPr>
        <w:pStyle w:val="a1"/>
        <w:numPr>
          <w:ilvl w:val="0"/>
          <w:numId w:val="35"/>
        </w:numPr>
        <w:bidi w:val="0"/>
        <w:ind w:left="845" w:hanging="425" w:leftChars="0" w:firstLineChars="0"/>
        <w:rPr>
          <w:rFonts w:eastAsia="宋体" w:hint="eastAsia"/>
          <w:lang w:val="en-US" w:eastAsia="zh-CN"/>
        </w:rPr>
      </w:pPr>
      <w:r>
        <w:rPr>
          <w:rFonts w:eastAsia="宋体" w:hint="eastAsia"/>
          <w:lang w:val="en-US" w:eastAsia="zh-CN"/>
        </w:rPr>
        <w:t>检查能力计划执行情况和指标体系中各指标项的达成情况</w:t>
      </w:r>
    </w:p>
    <w:p>
      <w:pPr>
        <w:pStyle w:val="a1"/>
        <w:numPr>
          <w:ilvl w:val="0"/>
          <w:numId w:val="35"/>
        </w:numPr>
        <w:bidi w:val="0"/>
        <w:ind w:left="845" w:hanging="425" w:leftChars="0" w:firstLineChars="0"/>
        <w:rPr>
          <w:rFonts w:eastAsia="宋体" w:hint="eastAsia"/>
          <w:lang w:val="en-US" w:eastAsia="zh-CN"/>
        </w:rPr>
      </w:pPr>
      <w:r>
        <w:rPr>
          <w:rFonts w:eastAsia="宋体" w:hint="eastAsia"/>
          <w:lang w:val="en-US" w:eastAsia="zh-CN"/>
        </w:rPr>
        <w:t>检查和审计各类汇报和报告的质量和及时性</w:t>
      </w:r>
    </w:p>
    <w:p>
      <w:pPr>
        <w:pStyle w:val="a1"/>
        <w:numPr>
          <w:ilvl w:val="0"/>
          <w:numId w:val="35"/>
        </w:numPr>
        <w:bidi w:val="0"/>
        <w:ind w:left="845" w:hanging="425" w:leftChars="0" w:firstLineChars="0"/>
        <w:rPr>
          <w:rFonts w:eastAsia="宋体" w:hint="eastAsia"/>
          <w:lang w:val="en-US" w:eastAsia="zh-CN"/>
        </w:rPr>
      </w:pPr>
      <w:r>
        <w:rPr>
          <w:rFonts w:eastAsia="宋体" w:hint="eastAsia"/>
          <w:lang w:val="en-US" w:eastAsia="zh-CN"/>
        </w:rPr>
        <w:t>检查各过程管理制度的执行情况</w:t>
      </w:r>
    </w:p>
    <w:p>
      <w:pPr>
        <w:pStyle w:val="a1"/>
        <w:numPr>
          <w:ilvl w:val="0"/>
          <w:numId w:val="35"/>
        </w:numPr>
        <w:bidi w:val="0"/>
        <w:ind w:left="845" w:hanging="425" w:leftChars="0" w:firstLineChars="0"/>
        <w:rPr>
          <w:rFonts w:eastAsia="宋体" w:hint="eastAsia"/>
          <w:lang w:val="en-US" w:eastAsia="zh-CN"/>
        </w:rPr>
      </w:pPr>
      <w:r>
        <w:rPr>
          <w:rFonts w:eastAsia="宋体" w:hint="eastAsia"/>
          <w:lang w:val="en-US" w:eastAsia="zh-CN"/>
        </w:rPr>
        <w:t>检查服务交付物的完整性</w:t>
      </w:r>
    </w:p>
    <w:p>
      <w:pPr>
        <w:pStyle w:val="a1"/>
        <w:numPr>
          <w:ilvl w:val="0"/>
          <w:numId w:val="34"/>
        </w:numPr>
        <w:bidi w:val="0"/>
        <w:ind w:left="425" w:hanging="425" w:leftChars="0" w:firstLineChars="0"/>
        <w:rPr>
          <w:rFonts w:eastAsia="宋体" w:hint="eastAsia"/>
          <w:lang w:val="en-US" w:eastAsia="zh-CN"/>
        </w:rPr>
      </w:pPr>
      <w:r>
        <w:rPr>
          <w:rFonts w:eastAsia="宋体" w:hint="eastAsia"/>
          <w:lang w:val="en-US" w:eastAsia="zh-CN"/>
        </w:rPr>
        <w:t>项目级质量检查：</w:t>
      </w:r>
    </w:p>
    <w:p>
      <w:pPr>
        <w:pStyle w:val="a1"/>
        <w:bidi w:val="0"/>
        <w:rPr>
          <w:rFonts w:eastAsia="宋体" w:hint="eastAsia"/>
          <w:lang w:val="en-US" w:eastAsia="zh-CN"/>
        </w:rPr>
      </w:pPr>
      <w:r>
        <w:rPr>
          <w:rFonts w:eastAsia="宋体" w:hint="eastAsia"/>
          <w:lang w:val="en-US" w:eastAsia="zh-CN"/>
        </w:rPr>
        <w:t>产品质量部依据质量管理计划和质量检查表，定期对项目活动和工作产品进行检查，内容包括：</w:t>
      </w:r>
    </w:p>
    <w:p>
      <w:pPr>
        <w:pStyle w:val="a1"/>
        <w:numPr>
          <w:ilvl w:val="0"/>
          <w:numId w:val="36"/>
        </w:numPr>
        <w:bidi w:val="0"/>
        <w:ind w:left="845" w:hanging="425" w:leftChars="0" w:firstLineChars="0"/>
        <w:rPr>
          <w:rFonts w:eastAsia="宋体" w:hint="eastAsia"/>
          <w:lang w:val="en-US" w:eastAsia="zh-CN"/>
        </w:rPr>
      </w:pPr>
      <w:r>
        <w:rPr>
          <w:rFonts w:eastAsia="宋体" w:hint="eastAsia"/>
          <w:lang w:val="en-US" w:eastAsia="zh-CN"/>
        </w:rPr>
        <w:t>审计各项目组是否按照已建立的运维服务管理体系进行相关项目活动</w:t>
      </w:r>
    </w:p>
    <w:p>
      <w:pPr>
        <w:pStyle w:val="a1"/>
        <w:numPr>
          <w:ilvl w:val="0"/>
          <w:numId w:val="36"/>
        </w:numPr>
        <w:bidi w:val="0"/>
        <w:ind w:left="845" w:hanging="425" w:leftChars="0" w:firstLineChars="0"/>
        <w:rPr>
          <w:rFonts w:eastAsia="宋体" w:hint="eastAsia"/>
          <w:lang w:val="en-US" w:eastAsia="zh-CN"/>
        </w:rPr>
      </w:pPr>
      <w:r>
        <w:rPr>
          <w:rFonts w:eastAsia="宋体" w:hint="eastAsia"/>
          <w:lang w:val="en-US" w:eastAsia="zh-CN"/>
        </w:rPr>
        <w:t>保证项目交付物符合相应的要求和标准</w:t>
      </w:r>
    </w:p>
    <w:p>
      <w:pPr>
        <w:pStyle w:val="a1"/>
        <w:numPr>
          <w:ilvl w:val="0"/>
          <w:numId w:val="36"/>
        </w:numPr>
        <w:bidi w:val="0"/>
        <w:ind w:left="845" w:hanging="425" w:leftChars="0" w:firstLineChars="0"/>
        <w:rPr>
          <w:rFonts w:eastAsia="宋体" w:hint="eastAsia"/>
          <w:lang w:val="en-US" w:eastAsia="zh-CN"/>
        </w:rPr>
      </w:pPr>
      <w:r>
        <w:rPr>
          <w:rFonts w:eastAsia="宋体" w:hint="eastAsia"/>
          <w:lang w:val="en-US" w:eastAsia="zh-CN"/>
        </w:rPr>
        <w:t>审计项目中各类汇报和报告的质量和及时性</w:t>
      </w:r>
    </w:p>
    <w:p>
      <w:pPr>
        <w:pStyle w:val="a1"/>
        <w:numPr>
          <w:ilvl w:val="0"/>
          <w:numId w:val="36"/>
        </w:numPr>
        <w:bidi w:val="0"/>
        <w:ind w:left="845" w:hanging="425" w:leftChars="0" w:firstLineChars="0"/>
        <w:rPr>
          <w:rFonts w:eastAsia="宋体" w:hint="eastAsia"/>
          <w:lang w:val="en-US" w:eastAsia="zh-CN"/>
        </w:rPr>
      </w:pPr>
      <w:r>
        <w:rPr>
          <w:rFonts w:eastAsia="宋体" w:hint="eastAsia"/>
          <w:lang w:val="en-US" w:eastAsia="zh-CN"/>
        </w:rPr>
        <w:t>记录检查发现的问题，并与相关人员进行沟通解决</w:t>
      </w:r>
    </w:p>
    <w:p>
      <w:pPr>
        <w:pStyle w:val="a1"/>
        <w:bidi w:val="0"/>
        <w:jc w:val="center"/>
        <w:rPr>
          <w:rFonts w:eastAsia="宋体" w:hint="eastAsia"/>
          <w:lang w:val="en-US" w:eastAsia="zh-CN"/>
        </w:rPr>
      </w:pPr>
      <w:r>
        <w:rPr>
          <w:rFonts w:eastAsia="宋体" w:hint="eastAsia"/>
          <w:lang w:val="en-US" w:eastAsia="zh-CN"/>
        </w:rPr>
        <w:t>2026年度质量检查安排表</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10"/>
        <w:gridCol w:w="1077"/>
        <w:gridCol w:w="1660"/>
        <w:gridCol w:w="3186"/>
        <w:gridCol w:w="138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210"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检查类型</w:t>
            </w:r>
          </w:p>
        </w:tc>
        <w:tc>
          <w:tcPr>
            <w:tcW w:w="107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检查频次</w:t>
            </w:r>
          </w:p>
        </w:tc>
        <w:tc>
          <w:tcPr>
            <w:tcW w:w="166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检查时间</w:t>
            </w:r>
          </w:p>
        </w:tc>
        <w:tc>
          <w:tcPr>
            <w:tcW w:w="318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检查重点</w:t>
            </w:r>
          </w:p>
        </w:tc>
        <w:tc>
          <w:tcPr>
            <w:tcW w:w="138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输出物</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0"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组织级质量检查</w:t>
            </w:r>
          </w:p>
        </w:tc>
        <w:tc>
          <w:tcPr>
            <w:tcW w:w="107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每季度1次</w:t>
            </w:r>
          </w:p>
        </w:tc>
        <w:tc>
          <w:tcPr>
            <w:tcW w:w="166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3月、6月、9月、12月</w:t>
            </w:r>
          </w:p>
        </w:tc>
        <w:tc>
          <w:tcPr>
            <w:tcW w:w="318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能力计划执行、KPI达成、过程执行、交付物完整性</w:t>
            </w:r>
          </w:p>
        </w:tc>
        <w:tc>
          <w:tcPr>
            <w:tcW w:w="138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《质量检查报告》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0"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项目级质量检查</w:t>
            </w:r>
          </w:p>
        </w:tc>
        <w:tc>
          <w:tcPr>
            <w:tcW w:w="107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每月1次</w:t>
            </w:r>
          </w:p>
        </w:tc>
        <w:tc>
          <w:tcPr>
            <w:tcW w:w="166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每月末</w:t>
            </w:r>
          </w:p>
        </w:tc>
        <w:tc>
          <w:tcPr>
            <w:tcW w:w="318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项目活动合规性、交付物质量、报告质量</w:t>
            </w:r>
          </w:p>
        </w:tc>
        <w:tc>
          <w:tcPr>
            <w:tcW w:w="138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《质量检查记录表》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重点项目专项检查</w:t>
            </w:r>
          </w:p>
        </w:tc>
        <w:tc>
          <w:tcPr>
            <w:tcW w:w="107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按需</w:t>
            </w:r>
          </w:p>
        </w:tc>
        <w:tc>
          <w:tcPr>
            <w:tcW w:w="166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项目关键节点</w:t>
            </w:r>
          </w:p>
        </w:tc>
        <w:tc>
          <w:tcPr>
            <w:tcW w:w="318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企业门店哈哈哈哈哈哈统一管理系统等</w:t>
            </w:r>
          </w:p>
        </w:tc>
        <w:tc>
          <w:tcPr>
            <w:tcW w:w="138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《专项检查报告》</w:t>
            </w:r>
          </w:p>
        </w:tc>
      </w:tr>
    </w:tbl>
    <w:p>
      <w:pPr>
        <w:pStyle w:val="a1"/>
        <w:bidi w:val="0"/>
        <w:rPr>
          <w:rFonts w:eastAsia="宋体" w:hint="eastAsia"/>
          <w:lang w:val="en-US" w:eastAsia="zh-CN"/>
        </w:rPr>
      </w:pPr>
      <w:r>
        <w:rPr>
          <w:rFonts w:eastAsia="宋体" w:hint="eastAsia"/>
          <w:lang w:val="en-US" w:eastAsia="zh-CN"/>
        </w:rPr>
        <w:t>质量检查应秉持公平公正的原则，检查结果应记录在《质量检查记录表》中，作为改进的依据。</w:t>
      </w:r>
    </w:p>
    <w:p>
      <w:pPr>
        <w:pStyle w:val="2"/>
        <w:bidi w:val="0"/>
        <w:rPr>
          <w:rFonts w:hint="eastAsia"/>
          <w:lang w:val="en-US" w:eastAsia="zh-CN"/>
        </w:rPr>
      </w:pPr>
      <w:bookmarkStart w:id="74" w:name="_Toc14443"/>
      <w:bookmarkStart w:id="75" w:name="_Toc132"/>
      <w:r>
        <w:rPr>
          <w:rFonts w:hint="eastAsia"/>
          <w:lang w:val="en-US" w:eastAsia="zh-CN"/>
        </w:rPr>
        <w:t>客户满意度调查</w:t>
      </w:r>
      <w:bookmarkEnd w:id="74"/>
      <w:bookmarkEnd w:id="75"/>
    </w:p>
    <w:p>
      <w:pPr>
        <w:pStyle w:val="a1"/>
        <w:bidi w:val="0"/>
        <w:rPr>
          <w:rFonts w:eastAsia="宋体" w:hint="eastAsia"/>
          <w:lang w:val="en-US" w:eastAsia="zh-CN"/>
        </w:rPr>
      </w:pPr>
      <w:r>
        <w:rPr>
          <w:rFonts w:eastAsia="宋体" w:hint="eastAsia"/>
          <w:lang w:val="en-US" w:eastAsia="zh-CN"/>
        </w:rPr>
        <w:t>客户满意度调查工作由运维部、产品质量部共同完成：</w:t>
      </w:r>
    </w:p>
    <w:p>
      <w:pPr>
        <w:pStyle w:val="a1"/>
        <w:numPr>
          <w:ilvl w:val="0"/>
          <w:numId w:val="37"/>
        </w:numPr>
        <w:bidi w:val="0"/>
        <w:ind w:left="425" w:hanging="425" w:leftChars="0" w:firstLineChars="0"/>
        <w:rPr>
          <w:rFonts w:eastAsia="宋体" w:hint="eastAsia"/>
          <w:lang w:val="en-US" w:eastAsia="zh-CN"/>
        </w:rPr>
      </w:pPr>
      <w:r>
        <w:rPr>
          <w:rFonts w:eastAsia="宋体" w:hint="eastAsia"/>
          <w:lang w:val="en-US" w:eastAsia="zh-CN"/>
        </w:rPr>
        <w:t>事件解决满意度回访：由运维部服务台负责，对已解决的事件进行电话回访，确认运维服务人员是否成功解决问题，了解客户对处理结果的满意度。回访应在事件解决后3个工作日内完成。</w:t>
      </w:r>
    </w:p>
    <w:p>
      <w:pPr>
        <w:pStyle w:val="a1"/>
        <w:numPr>
          <w:ilvl w:val="0"/>
          <w:numId w:val="37"/>
        </w:numPr>
        <w:bidi w:val="0"/>
        <w:ind w:left="425" w:hanging="425" w:leftChars="0" w:firstLineChars="0"/>
        <w:rPr>
          <w:rFonts w:eastAsia="宋体" w:hint="eastAsia"/>
          <w:lang w:val="en-US" w:eastAsia="zh-CN"/>
        </w:rPr>
      </w:pPr>
      <w:r>
        <w:rPr>
          <w:rFonts w:eastAsia="宋体" w:hint="eastAsia"/>
          <w:lang w:val="en-US" w:eastAsia="zh-CN"/>
        </w:rPr>
        <w:t>组织级客户满意度调查：由产品质量部负责，2026年11月至少进行一次，采用问卷填写方式。调查内容必须与SLA（或服务合同）内容相一致，注意调查样本的比例及覆盖范围，以降低抽样的风险。</w:t>
      </w:r>
    </w:p>
    <w:p>
      <w:pPr>
        <w:pStyle w:val="a1"/>
        <w:numPr>
          <w:ilvl w:val="0"/>
          <w:numId w:val="37"/>
        </w:numPr>
        <w:bidi w:val="0"/>
        <w:ind w:left="425" w:hanging="425" w:leftChars="0" w:firstLineChars="0"/>
        <w:rPr>
          <w:rFonts w:eastAsia="宋体" w:hint="eastAsia"/>
          <w:lang w:val="en-US" w:eastAsia="zh-CN"/>
        </w:rPr>
      </w:pPr>
      <w:r>
        <w:rPr>
          <w:rFonts w:eastAsia="宋体" w:hint="eastAsia"/>
          <w:lang w:val="en-US" w:eastAsia="zh-CN"/>
        </w:rPr>
        <w:t>项目级满意度调查：由运维部项目经理负责，在项目验收后对运维服务人员的工作满意度进行调查，用以不断改进运维服务过程。</w:t>
      </w:r>
    </w:p>
    <w:p>
      <w:pPr>
        <w:pStyle w:val="a1"/>
        <w:bidi w:val="0"/>
        <w:jc w:val="center"/>
        <w:rPr>
          <w:rFonts w:eastAsia="宋体" w:hint="eastAsia"/>
          <w:lang w:val="en-US" w:eastAsia="zh-CN"/>
        </w:rPr>
      </w:pPr>
      <w:r>
        <w:rPr>
          <w:rFonts w:eastAsia="宋体" w:hint="eastAsia"/>
          <w:lang w:val="en-US" w:eastAsia="zh-CN"/>
        </w:rPr>
        <w:t>2026年度满意度调查安排表</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70"/>
        <w:gridCol w:w="1159"/>
        <w:gridCol w:w="2259"/>
        <w:gridCol w:w="1788"/>
        <w:gridCol w:w="1346"/>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97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调查类型</w:t>
            </w:r>
          </w:p>
        </w:tc>
        <w:tc>
          <w:tcPr>
            <w:tcW w:w="115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调查方式</w:t>
            </w:r>
          </w:p>
        </w:tc>
        <w:tc>
          <w:tcPr>
            <w:tcW w:w="225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调查时间</w:t>
            </w:r>
          </w:p>
        </w:tc>
        <w:tc>
          <w:tcPr>
            <w:tcW w:w="178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调查对象</w:t>
            </w:r>
          </w:p>
        </w:tc>
        <w:tc>
          <w:tcPr>
            <w:tcW w:w="134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组织级客户满意度调查</w:t>
            </w:r>
          </w:p>
        </w:tc>
        <w:tc>
          <w:tcPr>
            <w:tcW w:w="11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问卷调查</w:t>
            </w:r>
          </w:p>
        </w:tc>
        <w:tc>
          <w:tcPr>
            <w:tcW w:w="22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2026年11月</w:t>
            </w:r>
          </w:p>
        </w:tc>
        <w:tc>
          <w:tcPr>
            <w:tcW w:w="17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所有运维服务客户</w:t>
            </w:r>
          </w:p>
        </w:tc>
        <w:tc>
          <w:tcPr>
            <w:tcW w:w="13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事件解决满意度回访</w:t>
            </w:r>
          </w:p>
        </w:tc>
        <w:tc>
          <w:tcPr>
            <w:tcW w:w="11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电话回访</w:t>
            </w:r>
          </w:p>
        </w:tc>
        <w:tc>
          <w:tcPr>
            <w:tcW w:w="22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事件解决后3个工作日内</w:t>
            </w:r>
          </w:p>
        </w:tc>
        <w:tc>
          <w:tcPr>
            <w:tcW w:w="17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事件申报人</w:t>
            </w:r>
          </w:p>
        </w:tc>
        <w:tc>
          <w:tcPr>
            <w:tcW w:w="13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投诉处理满意度回访</w:t>
            </w:r>
          </w:p>
        </w:tc>
        <w:tc>
          <w:tcPr>
            <w:tcW w:w="11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电话回访</w:t>
            </w:r>
          </w:p>
        </w:tc>
        <w:tc>
          <w:tcPr>
            <w:tcW w:w="22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投诉处理后</w:t>
            </w:r>
          </w:p>
        </w:tc>
        <w:tc>
          <w:tcPr>
            <w:tcW w:w="17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投诉人</w:t>
            </w:r>
          </w:p>
        </w:tc>
        <w:tc>
          <w:tcPr>
            <w:tcW w:w="13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项目级满意度调查</w:t>
            </w:r>
          </w:p>
        </w:tc>
        <w:tc>
          <w:tcPr>
            <w:tcW w:w="11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走访/电访</w:t>
            </w:r>
          </w:p>
        </w:tc>
        <w:tc>
          <w:tcPr>
            <w:tcW w:w="22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项目关键节点或结束后</w:t>
            </w:r>
          </w:p>
        </w:tc>
        <w:tc>
          <w:tcPr>
            <w:tcW w:w="17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项目客户</w:t>
            </w:r>
          </w:p>
        </w:tc>
        <w:tc>
          <w:tcPr>
            <w:tcW w:w="134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a1"/>
        <w:bidi w:val="0"/>
        <w:rPr>
          <w:rFonts w:eastAsia="宋体" w:hint="eastAsia"/>
          <w:lang w:val="en-US" w:eastAsia="zh-CN"/>
        </w:rPr>
      </w:pPr>
      <w:r>
        <w:rPr>
          <w:rFonts w:eastAsia="宋体" w:hint="eastAsia"/>
          <w:lang w:val="en-US" w:eastAsia="zh-CN"/>
        </w:rPr>
        <w:t>具体调查流程详见《满意度管理制度》。</w:t>
      </w:r>
    </w:p>
    <w:p>
      <w:pPr>
        <w:pStyle w:val="2"/>
        <w:bidi w:val="0"/>
        <w:rPr>
          <w:rFonts w:hint="eastAsia"/>
          <w:lang w:val="en-US" w:eastAsia="zh-CN"/>
        </w:rPr>
      </w:pPr>
      <w:bookmarkStart w:id="76" w:name="_Toc11657"/>
      <w:bookmarkStart w:id="77" w:name="_Toc7396"/>
      <w:r>
        <w:rPr>
          <w:rFonts w:hint="eastAsia"/>
          <w:lang w:val="en-US" w:eastAsia="zh-CN"/>
        </w:rPr>
        <w:t>内审和管理评审</w:t>
      </w:r>
      <w:bookmarkEnd w:id="76"/>
      <w:bookmarkEnd w:id="77"/>
    </w:p>
    <w:p>
      <w:pPr>
        <w:pStyle w:val="a1"/>
        <w:bidi w:val="0"/>
        <w:rPr>
          <w:rFonts w:eastAsia="宋体" w:hint="eastAsia"/>
          <w:lang w:val="en-US" w:eastAsia="zh-CN"/>
        </w:rPr>
      </w:pPr>
      <w:r>
        <w:rPr>
          <w:rFonts w:eastAsia="宋体" w:hint="eastAsia"/>
          <w:lang w:val="en-US" w:eastAsia="zh-CN"/>
        </w:rPr>
        <w:t>产品质量部于2026年10月组织一次运维服务管理体系的内部审核工作，于2026年11月组织一次管理评审工作，确保公司运维服务能力的适宜性和有效性。</w:t>
      </w:r>
    </w:p>
    <w:p>
      <w:pPr>
        <w:pStyle w:val="a1"/>
        <w:numPr>
          <w:ilvl w:val="0"/>
          <w:numId w:val="38"/>
        </w:numPr>
        <w:bidi w:val="0"/>
        <w:ind w:left="425" w:hanging="425" w:leftChars="0" w:firstLineChars="0"/>
        <w:rPr>
          <w:rFonts w:eastAsia="宋体" w:hint="eastAsia"/>
          <w:lang w:val="en-US" w:eastAsia="zh-CN"/>
        </w:rPr>
      </w:pPr>
      <w:r>
        <w:rPr>
          <w:rFonts w:eastAsia="宋体" w:hint="eastAsia"/>
          <w:lang w:val="en-US" w:eastAsia="zh-CN"/>
        </w:rPr>
        <w:t>内部审核：</w:t>
      </w:r>
    </w:p>
    <w:p>
      <w:pPr>
        <w:pStyle w:val="a1"/>
        <w:numPr>
          <w:ilvl w:val="0"/>
          <w:numId w:val="0"/>
        </w:numPr>
        <w:bidi w:val="0"/>
        <w:ind w:leftChars="0"/>
        <w:rPr>
          <w:rFonts w:eastAsia="宋体" w:hint="eastAsia"/>
          <w:lang w:val="en-US" w:eastAsia="zh-CN"/>
        </w:rPr>
      </w:pPr>
      <w:r>
        <w:rPr>
          <w:rFonts w:eastAsia="宋体" w:hint="eastAsia"/>
          <w:lang w:val="en-US" w:eastAsia="zh-CN"/>
        </w:rPr>
        <w:t>检查运维服务管理活动及其结果是否符合ITSS标准及公司相关制度要求，为体系的持续改进提供依据。审核范围覆盖人员、资源、技术、过程、交付、应急六大能力域。</w:t>
      </w:r>
    </w:p>
    <w:p>
      <w:pPr>
        <w:pStyle w:val="a1"/>
        <w:numPr>
          <w:ilvl w:val="0"/>
          <w:numId w:val="38"/>
        </w:numPr>
        <w:bidi w:val="0"/>
        <w:ind w:left="425" w:hanging="425" w:leftChars="0" w:firstLineChars="0"/>
        <w:rPr>
          <w:rFonts w:eastAsia="宋体" w:hint="eastAsia"/>
          <w:lang w:val="en-US" w:eastAsia="zh-CN"/>
        </w:rPr>
      </w:pPr>
      <w:r>
        <w:rPr>
          <w:rFonts w:eastAsia="宋体" w:hint="eastAsia"/>
          <w:lang w:val="en-US" w:eastAsia="zh-CN"/>
        </w:rPr>
        <w:t>管理评审：</w:t>
      </w:r>
    </w:p>
    <w:p>
      <w:pPr>
        <w:pStyle w:val="a1"/>
        <w:numPr>
          <w:ilvl w:val="0"/>
          <w:numId w:val="0"/>
        </w:numPr>
        <w:bidi w:val="0"/>
        <w:ind w:leftChars="0"/>
        <w:rPr>
          <w:rFonts w:eastAsia="宋体" w:hint="eastAsia"/>
          <w:lang w:val="en-US" w:eastAsia="zh-CN"/>
        </w:rPr>
      </w:pPr>
      <w:r>
        <w:rPr>
          <w:rFonts w:eastAsia="宋体" w:hint="eastAsia"/>
          <w:lang w:val="en-US" w:eastAsia="zh-CN"/>
        </w:rPr>
        <w:t>对体系的适宜性、充分性和有效性进行评审，确保体系持续满足客户需求和业务发展要求。</w:t>
      </w:r>
    </w:p>
    <w:p>
      <w:pPr>
        <w:pStyle w:val="a1"/>
        <w:bidi w:val="0"/>
        <w:rPr>
          <w:rFonts w:eastAsia="宋体" w:hint="eastAsia"/>
          <w:lang w:val="en-US" w:eastAsia="zh-CN"/>
        </w:rPr>
      </w:pPr>
      <w:r>
        <w:rPr>
          <w:rFonts w:eastAsia="宋体" w:hint="eastAsia"/>
          <w:lang w:val="en-US" w:eastAsia="zh-CN"/>
        </w:rPr>
        <w:t>具体流程详见《内审管理制度》和《管理评审管理制度》。</w:t>
      </w:r>
    </w:p>
    <w:p>
      <w:pPr>
        <w:pStyle w:val="2"/>
        <w:bidi w:val="0"/>
        <w:rPr>
          <w:rFonts w:hint="eastAsia"/>
          <w:lang w:val="en-US" w:eastAsia="zh-CN"/>
        </w:rPr>
      </w:pPr>
      <w:bookmarkStart w:id="78" w:name="_Toc6702"/>
      <w:bookmarkStart w:id="79" w:name="_Toc17487"/>
      <w:r>
        <w:rPr>
          <w:rFonts w:hint="eastAsia"/>
          <w:lang w:val="en-US" w:eastAsia="zh-CN"/>
        </w:rPr>
        <w:t>改进项处理</w:t>
      </w:r>
      <w:bookmarkEnd w:id="78"/>
      <w:bookmarkEnd w:id="79"/>
    </w:p>
    <w:p>
      <w:pPr>
        <w:pStyle w:val="a1"/>
        <w:bidi w:val="0"/>
        <w:rPr>
          <w:rFonts w:eastAsia="宋体" w:hint="eastAsia"/>
          <w:lang w:val="en-US" w:eastAsia="zh-CN"/>
        </w:rPr>
      </w:pPr>
      <w:r>
        <w:rPr>
          <w:rFonts w:eastAsia="宋体" w:hint="eastAsia"/>
          <w:lang w:val="en-US" w:eastAsia="zh-CN"/>
        </w:rPr>
        <w:t>针对以下来源发现的未达标项，产品质量部应及时组织相关人员对问题进行根本原因分析，并制定纠正措施：</w:t>
      </w:r>
    </w:p>
    <w:p>
      <w:pPr>
        <w:pStyle w:val="a1"/>
        <w:numPr>
          <w:ilvl w:val="0"/>
          <w:numId w:val="39"/>
        </w:numPr>
        <w:bidi w:val="0"/>
        <w:ind w:left="425" w:hanging="425" w:leftChars="0" w:firstLineChars="0"/>
        <w:rPr>
          <w:rFonts w:eastAsia="宋体" w:hint="eastAsia"/>
          <w:lang w:val="en-US" w:eastAsia="zh-CN"/>
        </w:rPr>
      </w:pPr>
      <w:r>
        <w:rPr>
          <w:rFonts w:eastAsia="宋体" w:hint="eastAsia"/>
          <w:lang w:val="en-US" w:eastAsia="zh-CN"/>
        </w:rPr>
        <w:t>质量检查中发现的问题</w:t>
      </w:r>
    </w:p>
    <w:p>
      <w:pPr>
        <w:pStyle w:val="a1"/>
        <w:numPr>
          <w:ilvl w:val="0"/>
          <w:numId w:val="39"/>
        </w:numPr>
        <w:bidi w:val="0"/>
        <w:ind w:left="425" w:hanging="425" w:leftChars="0" w:firstLineChars="0"/>
        <w:rPr>
          <w:rFonts w:eastAsia="宋体" w:hint="eastAsia"/>
          <w:lang w:val="en-US" w:eastAsia="zh-CN"/>
        </w:rPr>
      </w:pPr>
      <w:r>
        <w:rPr>
          <w:rFonts w:eastAsia="宋体" w:hint="eastAsia"/>
          <w:lang w:val="en-US" w:eastAsia="zh-CN"/>
        </w:rPr>
        <w:t>内审中发现的不符合项</w:t>
      </w:r>
    </w:p>
    <w:p>
      <w:pPr>
        <w:pStyle w:val="a1"/>
        <w:numPr>
          <w:ilvl w:val="0"/>
          <w:numId w:val="39"/>
        </w:numPr>
        <w:bidi w:val="0"/>
        <w:ind w:left="425" w:hanging="425" w:leftChars="0" w:firstLineChars="0"/>
        <w:rPr>
          <w:rFonts w:eastAsia="宋体" w:hint="eastAsia"/>
          <w:lang w:val="en-US" w:eastAsia="zh-CN"/>
        </w:rPr>
      </w:pPr>
      <w:r>
        <w:rPr>
          <w:rFonts w:eastAsia="宋体" w:hint="eastAsia"/>
          <w:lang w:val="en-US" w:eastAsia="zh-CN"/>
        </w:rPr>
        <w:t>客户满意度调查中的低分项</w:t>
      </w:r>
    </w:p>
    <w:p>
      <w:pPr>
        <w:pStyle w:val="a1"/>
        <w:numPr>
          <w:ilvl w:val="0"/>
          <w:numId w:val="39"/>
        </w:numPr>
        <w:bidi w:val="0"/>
        <w:ind w:left="425" w:hanging="425" w:leftChars="0" w:firstLineChars="0"/>
        <w:rPr>
          <w:rFonts w:eastAsia="宋体" w:hint="eastAsia"/>
          <w:lang w:val="en-US" w:eastAsia="zh-CN"/>
        </w:rPr>
      </w:pPr>
      <w:r>
        <w:rPr>
          <w:rFonts w:eastAsia="宋体" w:hint="eastAsia"/>
          <w:lang w:val="en-US" w:eastAsia="zh-CN"/>
        </w:rPr>
        <w:t>客户投诉</w:t>
      </w:r>
    </w:p>
    <w:p>
      <w:pPr>
        <w:pStyle w:val="a1"/>
        <w:numPr>
          <w:ilvl w:val="0"/>
          <w:numId w:val="39"/>
        </w:numPr>
        <w:bidi w:val="0"/>
        <w:ind w:left="425" w:hanging="425" w:leftChars="0" w:firstLineChars="0"/>
        <w:rPr>
          <w:rFonts w:eastAsia="宋体" w:hint="eastAsia"/>
          <w:lang w:val="en-US" w:eastAsia="zh-CN"/>
        </w:rPr>
      </w:pPr>
      <w:r>
        <w:rPr>
          <w:rFonts w:eastAsia="宋体" w:hint="eastAsia"/>
          <w:lang w:val="en-US" w:eastAsia="zh-CN"/>
        </w:rPr>
        <w:t>过程指标未达成项</w:t>
      </w:r>
    </w:p>
    <w:p>
      <w:pPr>
        <w:pStyle w:val="a1"/>
        <w:bidi w:val="0"/>
        <w:rPr>
          <w:rFonts w:eastAsia="宋体" w:hint="eastAsia"/>
          <w:lang w:val="en-US" w:eastAsia="zh-CN"/>
        </w:rPr>
      </w:pPr>
      <w:r>
        <w:rPr>
          <w:rFonts w:eastAsia="宋体" w:hint="eastAsia"/>
          <w:lang w:val="en-US" w:eastAsia="zh-CN"/>
        </w:rPr>
        <w:t>改进措施应包括：问题描述、根本原因分析、改进措施、责任人、计划完成时间、预期效果。产品质量部需对改进项进行跟踪记录，直至关闭为止。</w:t>
      </w:r>
    </w:p>
    <w:p>
      <w:pPr>
        <w:pStyle w:val="a1"/>
        <w:bidi w:val="0"/>
        <w:jc w:val="center"/>
        <w:rPr>
          <w:rFonts w:eastAsia="宋体" w:hint="eastAsia"/>
          <w:lang w:val="en-US" w:eastAsia="zh-CN"/>
        </w:rPr>
      </w:pPr>
      <w:r>
        <w:rPr>
          <w:rFonts w:eastAsia="宋体" w:hint="eastAsia"/>
          <w:lang w:val="en-US" w:eastAsia="zh-CN"/>
        </w:rPr>
        <w:t>2026年度重点改进事项</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22"/>
        <w:gridCol w:w="1832"/>
        <w:gridCol w:w="3607"/>
        <w:gridCol w:w="1138"/>
        <w:gridCol w:w="132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2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183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问题</w:t>
            </w:r>
          </w:p>
        </w:tc>
        <w:tc>
          <w:tcPr>
            <w:tcW w:w="360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改进措施</w:t>
            </w:r>
          </w:p>
        </w:tc>
        <w:tc>
          <w:tcPr>
            <w:tcW w:w="113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13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83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数据完整性偶有不达标</w:t>
            </w:r>
          </w:p>
        </w:tc>
        <w:tc>
          <w:tcPr>
            <w:tcW w:w="360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持续完善数据录入规范，定期开展数据完整性检查</w:t>
            </w:r>
          </w:p>
        </w:tc>
        <w:tc>
          <w:tcPr>
            <w:tcW w:w="11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13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183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前端设备老化</w:t>
            </w:r>
          </w:p>
        </w:tc>
        <w:tc>
          <w:tcPr>
            <w:tcW w:w="360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评估设备更新需求，增加备件储备</w:t>
            </w:r>
          </w:p>
        </w:tc>
        <w:tc>
          <w:tcPr>
            <w:tcW w:w="11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硬件负责人</w:t>
            </w:r>
          </w:p>
        </w:tc>
        <w:tc>
          <w:tcPr>
            <w:tcW w:w="13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183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用户操作熟练度差异</w:t>
            </w:r>
          </w:p>
        </w:tc>
        <w:tc>
          <w:tcPr>
            <w:tcW w:w="360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组织进阶操作培训，优化操作手册</w:t>
            </w:r>
          </w:p>
        </w:tc>
        <w:tc>
          <w:tcPr>
            <w:tcW w:w="113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培训负责人</w:t>
            </w:r>
          </w:p>
        </w:tc>
        <w:tc>
          <w:tcPr>
            <w:tcW w:w="13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bl>
    <w:p>
      <w:pPr>
        <w:pStyle w:val="a1"/>
        <w:bidi w:val="0"/>
        <w:rPr>
          <w:rFonts w:eastAsia="宋体" w:hint="eastAsia"/>
          <w:lang w:val="en-US" w:eastAsia="zh-CN"/>
        </w:rPr>
      </w:pPr>
      <w:r>
        <w:rPr>
          <w:rFonts w:eastAsia="宋体" w:hint="eastAsia"/>
          <w:lang w:val="en-US" w:eastAsia="zh-CN"/>
        </w:rPr>
        <w:t>具体流程详见《改进管理制度》。</w:t>
      </w:r>
    </w:p>
    <w:p>
      <w:pPr>
        <w:pStyle w:val="2"/>
        <w:bidi w:val="0"/>
        <w:rPr>
          <w:rFonts w:hint="eastAsia"/>
          <w:lang w:val="en-US" w:eastAsia="zh-CN"/>
        </w:rPr>
      </w:pPr>
      <w:bookmarkStart w:id="80" w:name="_Toc64"/>
      <w:bookmarkStart w:id="81" w:name="_Toc8019"/>
      <w:r>
        <w:rPr>
          <w:rFonts w:hint="eastAsia"/>
          <w:lang w:val="en-US" w:eastAsia="zh-CN"/>
        </w:rPr>
        <w:t>质量培训</w:t>
      </w:r>
      <w:bookmarkEnd w:id="80"/>
      <w:bookmarkEnd w:id="81"/>
    </w:p>
    <w:p>
      <w:pPr>
        <w:pStyle w:val="a1"/>
        <w:bidi w:val="0"/>
        <w:rPr>
          <w:rFonts w:eastAsia="宋体" w:hint="eastAsia"/>
          <w:lang w:val="en-US" w:eastAsia="zh-CN"/>
        </w:rPr>
      </w:pPr>
      <w:r>
        <w:rPr>
          <w:rFonts w:eastAsia="宋体" w:hint="eastAsia"/>
          <w:lang w:val="en-US" w:eastAsia="zh-CN"/>
        </w:rPr>
        <w:t>产品质量部定期安排质量相关内容培训，增强运维服务相关人员的质量意识：</w:t>
      </w:r>
    </w:p>
    <w:p>
      <w:pPr>
        <w:pStyle w:val="a1"/>
        <w:numPr>
          <w:ilvl w:val="0"/>
          <w:numId w:val="40"/>
        </w:numPr>
        <w:bidi w:val="0"/>
        <w:ind w:left="425" w:hanging="425" w:leftChars="0" w:firstLineChars="0"/>
        <w:rPr>
          <w:rFonts w:eastAsia="宋体" w:hint="eastAsia"/>
          <w:lang w:val="en-US" w:eastAsia="zh-CN"/>
        </w:rPr>
      </w:pPr>
      <w:r>
        <w:rPr>
          <w:rFonts w:eastAsia="宋体" w:hint="eastAsia"/>
          <w:lang w:val="en-US" w:eastAsia="zh-CN"/>
        </w:rPr>
        <w:t>新员工培训：入职培训中纳入质量管理制度和质量方针内容</w:t>
      </w:r>
    </w:p>
    <w:p>
      <w:pPr>
        <w:pStyle w:val="a1"/>
        <w:numPr>
          <w:ilvl w:val="0"/>
          <w:numId w:val="40"/>
        </w:numPr>
        <w:bidi w:val="0"/>
        <w:ind w:left="425" w:hanging="425" w:leftChars="0" w:firstLineChars="0"/>
        <w:rPr>
          <w:rFonts w:eastAsia="宋体" w:hint="eastAsia"/>
          <w:lang w:val="en-US" w:eastAsia="zh-CN"/>
        </w:rPr>
      </w:pPr>
      <w:r>
        <w:rPr>
          <w:rFonts w:eastAsia="宋体" w:hint="eastAsia"/>
          <w:lang w:val="en-US" w:eastAsia="zh-CN"/>
        </w:rPr>
        <w:t>专项质量培训：针对质量检查中发现的共性问题，组织专项培训</w:t>
      </w:r>
    </w:p>
    <w:p>
      <w:pPr>
        <w:pStyle w:val="a1"/>
        <w:numPr>
          <w:ilvl w:val="0"/>
          <w:numId w:val="40"/>
        </w:numPr>
        <w:bidi w:val="0"/>
        <w:ind w:left="425" w:hanging="425" w:leftChars="0" w:firstLineChars="0"/>
        <w:rPr>
          <w:rFonts w:eastAsia="宋体" w:hint="eastAsia"/>
          <w:lang w:val="en-US" w:eastAsia="zh-CN"/>
        </w:rPr>
      </w:pPr>
      <w:r>
        <w:rPr>
          <w:rFonts w:eastAsia="宋体" w:hint="eastAsia"/>
          <w:lang w:val="en-US" w:eastAsia="zh-CN"/>
        </w:rPr>
        <w:t>内审员培训：组织内审员参加专业培训，提高审核能力</w:t>
      </w:r>
    </w:p>
    <w:p>
      <w:pPr>
        <w:pStyle w:val="a1"/>
        <w:numPr>
          <w:ilvl w:val="0"/>
          <w:numId w:val="40"/>
        </w:numPr>
        <w:bidi w:val="0"/>
        <w:ind w:left="425" w:hanging="425" w:leftChars="0" w:firstLineChars="0"/>
        <w:rPr>
          <w:rFonts w:eastAsia="宋体" w:hint="eastAsia"/>
          <w:lang w:val="en-US" w:eastAsia="zh-CN"/>
        </w:rPr>
      </w:pPr>
      <w:r>
        <w:rPr>
          <w:rFonts w:eastAsia="宋体" w:hint="eastAsia"/>
          <w:lang w:val="en-US" w:eastAsia="zh-CN"/>
        </w:rPr>
        <w:t>质量意识培训：定期开展质量意识宣贯，形成全员质量文化</w:t>
      </w:r>
    </w:p>
    <w:p>
      <w:pPr>
        <w:pStyle w:val="a1"/>
        <w:bidi w:val="0"/>
        <w:rPr>
          <w:rFonts w:hint="default"/>
          <w:lang w:val="en-US" w:eastAsia="zh-CN"/>
        </w:rPr>
      </w:pPr>
      <w:r>
        <w:rPr>
          <w:rFonts w:hint="eastAsia"/>
          <w:lang w:val="en-US" w:eastAsia="zh-CN"/>
        </w:rPr>
        <w:t>2026年度质量培训安排</w:t>
      </w:r>
    </w:p>
    <w:p>
      <w:pPr>
        <w:pStyle w:val="a1"/>
        <w:numPr>
          <w:ilvl w:val="0"/>
          <w:numId w:val="0"/>
        </w:numPr>
        <w:bidi w:val="0"/>
        <w:ind w:leftChars="0"/>
        <w:jc w:val="left"/>
        <w:rPr>
          <w:rFonts w:eastAsia="宋体" w:hint="eastAsia"/>
          <w:lang w:val="en-US" w:eastAsia="zh-CN"/>
        </w:rPr>
      </w:pPr>
      <w:r>
        <w:rPr>
          <w:rFonts w:eastAsia="宋体" w:hint="eastAsia"/>
          <w:lang w:val="en-US" w:eastAsia="zh-CN"/>
        </w:rPr>
        <w:t>运维服务项目进行新的运维周期或者结束前，应进行项目总结和项目验收：</w:t>
      </w:r>
    </w:p>
    <w:p>
      <w:pPr>
        <w:pStyle w:val="a1"/>
        <w:numPr>
          <w:ilvl w:val="0"/>
          <w:numId w:val="41"/>
        </w:numPr>
        <w:bidi w:val="0"/>
        <w:ind w:left="425" w:hanging="425" w:leftChars="0" w:firstLineChars="0"/>
        <w:jc w:val="left"/>
        <w:rPr>
          <w:rFonts w:eastAsia="宋体" w:hint="eastAsia"/>
          <w:lang w:val="en-US" w:eastAsia="zh-CN"/>
        </w:rPr>
      </w:pPr>
      <w:r>
        <w:rPr>
          <w:rFonts w:eastAsia="宋体" w:hint="eastAsia"/>
          <w:lang w:val="en-US" w:eastAsia="zh-CN"/>
        </w:rPr>
        <w:t>验收内容：对照合同要求和SLA协议，检查服务交付成果的完整性和符合性</w:t>
      </w:r>
    </w:p>
    <w:p>
      <w:pPr>
        <w:pStyle w:val="a1"/>
        <w:numPr>
          <w:ilvl w:val="0"/>
          <w:numId w:val="41"/>
        </w:numPr>
        <w:bidi w:val="0"/>
        <w:ind w:left="425" w:hanging="425" w:leftChars="0" w:firstLineChars="0"/>
        <w:jc w:val="left"/>
        <w:rPr>
          <w:rFonts w:eastAsia="宋体" w:hint="eastAsia"/>
          <w:lang w:val="en-US" w:eastAsia="zh-CN"/>
        </w:rPr>
      </w:pPr>
      <w:r>
        <w:rPr>
          <w:rFonts w:eastAsia="宋体" w:hint="eastAsia"/>
          <w:lang w:val="en-US" w:eastAsia="zh-CN"/>
        </w:rPr>
        <w:t>验收流程：由运维部项目经理组织，产品质量部参与监督，客户确认</w:t>
      </w:r>
    </w:p>
    <w:p>
      <w:pPr>
        <w:pStyle w:val="a1"/>
        <w:numPr>
          <w:ilvl w:val="0"/>
          <w:numId w:val="41"/>
        </w:numPr>
        <w:bidi w:val="0"/>
        <w:ind w:left="425" w:hanging="425" w:leftChars="0" w:firstLineChars="0"/>
        <w:jc w:val="left"/>
        <w:rPr>
          <w:rFonts w:eastAsia="宋体" w:hint="eastAsia"/>
          <w:lang w:val="en-US" w:eastAsia="zh-CN"/>
        </w:rPr>
      </w:pPr>
      <w:r>
        <w:rPr>
          <w:rFonts w:eastAsia="宋体" w:hint="eastAsia"/>
          <w:lang w:val="en-US" w:eastAsia="zh-CN"/>
        </w:rPr>
        <w:t>验收文档：形成《项目验收报告》，记录验收结论和客户反馈</w:t>
      </w:r>
    </w:p>
    <w:p>
      <w:pPr>
        <w:pStyle w:val="a1"/>
        <w:numPr>
          <w:ilvl w:val="0"/>
          <w:numId w:val="41"/>
        </w:numPr>
        <w:bidi w:val="0"/>
        <w:ind w:left="425" w:hanging="425" w:leftChars="0" w:firstLineChars="0"/>
        <w:jc w:val="left"/>
        <w:rPr>
          <w:rFonts w:eastAsia="宋体" w:hint="eastAsia"/>
          <w:lang w:val="en-US" w:eastAsia="zh-CN"/>
        </w:rPr>
      </w:pPr>
      <w:r>
        <w:rPr>
          <w:rFonts w:eastAsia="宋体" w:hint="eastAsia"/>
          <w:lang w:val="en-US" w:eastAsia="zh-CN"/>
        </w:rPr>
        <w:t>经验总结：对需要改进的服务提出改进意见，为提高公司整体运维水平提供经验和借鉴</w:t>
      </w:r>
    </w:p>
    <w:p>
      <w:pPr>
        <w:pStyle w:val="a1"/>
        <w:numPr>
          <w:ilvl w:val="0"/>
          <w:numId w:val="41"/>
        </w:numPr>
        <w:bidi w:val="0"/>
        <w:ind w:left="425" w:hanging="425" w:leftChars="0" w:firstLineChars="0"/>
        <w:jc w:val="left"/>
        <w:rPr>
          <w:rFonts w:eastAsia="宋体" w:hint="eastAsia"/>
          <w:lang w:val="en-US" w:eastAsia="zh-CN"/>
        </w:rPr>
      </w:pPr>
      <w:r>
        <w:rPr>
          <w:rFonts w:eastAsia="宋体" w:hint="eastAsia"/>
          <w:lang w:val="en-US" w:eastAsia="zh-CN"/>
        </w:rPr>
        <w:t>知识入库：将项目经验和教训纳入服务知识，为后续项目提供参考</w:t>
      </w:r>
    </w:p>
    <w:p>
      <w:pPr>
        <w:pStyle w:val="a1"/>
        <w:bidi w:val="0"/>
        <w:rPr>
          <w:rFonts w:eastAsia="宋体" w:hint="eastAsia"/>
          <w:lang w:val="en-US" w:eastAsia="zh-CN"/>
        </w:rPr>
      </w:pPr>
      <w:r>
        <w:rPr>
          <w:rFonts w:eastAsia="宋体" w:hint="eastAsia"/>
          <w:lang w:val="en-US" w:eastAsia="zh-CN"/>
        </w:rPr>
        <w:t>各部门人员应接受有关公司质量管理制度和质量价值的定向培训，以形成质量意识。培训记录由综合部归档。</w:t>
      </w:r>
    </w:p>
    <w:p>
      <w:pPr>
        <w:pStyle w:val="2"/>
        <w:bidi w:val="0"/>
        <w:rPr>
          <w:rFonts w:hint="eastAsia"/>
          <w:lang w:val="en-US" w:eastAsia="zh-CN"/>
        </w:rPr>
      </w:pPr>
      <w:bookmarkStart w:id="82" w:name="_Toc31766"/>
      <w:bookmarkStart w:id="83" w:name="_Toc25539"/>
      <w:r>
        <w:rPr>
          <w:rFonts w:hint="eastAsia"/>
          <w:lang w:val="en-US" w:eastAsia="zh-CN"/>
        </w:rPr>
        <w:t>质量管理工作汇报及总结</w:t>
      </w:r>
      <w:bookmarkEnd w:id="82"/>
      <w:bookmarkEnd w:id="83"/>
    </w:p>
    <w:p>
      <w:pPr>
        <w:pStyle w:val="a1"/>
        <w:bidi w:val="0"/>
        <w:rPr>
          <w:rFonts w:eastAsia="宋体" w:hint="eastAsia"/>
          <w:lang w:val="en-US" w:eastAsia="zh-CN"/>
        </w:rPr>
      </w:pPr>
      <w:r>
        <w:rPr>
          <w:rFonts w:eastAsia="宋体" w:hint="eastAsia"/>
          <w:lang w:val="en-US" w:eastAsia="zh-CN"/>
        </w:rPr>
        <w:t>产品质量部应定期出具质量报告，对发现的问题及问题的发展趋势进行分析总结：</w:t>
      </w:r>
    </w:p>
    <w:p>
      <w:pPr>
        <w:pStyle w:val="a1"/>
        <w:numPr>
          <w:ilvl w:val="0"/>
          <w:numId w:val="42"/>
        </w:numPr>
        <w:bidi w:val="0"/>
        <w:ind w:left="425" w:hanging="425" w:leftChars="0" w:firstLineChars="0"/>
        <w:rPr>
          <w:rFonts w:eastAsia="宋体" w:hint="eastAsia"/>
          <w:lang w:val="en-US" w:eastAsia="zh-CN"/>
        </w:rPr>
      </w:pPr>
      <w:r>
        <w:rPr>
          <w:rFonts w:eastAsia="宋体" w:hint="eastAsia"/>
          <w:lang w:val="en-US" w:eastAsia="zh-CN"/>
        </w:rPr>
        <w:t>月度质量简报：简要通报本月质量检查发现、改进项进展等</w:t>
      </w:r>
    </w:p>
    <w:p>
      <w:pPr>
        <w:pStyle w:val="a1"/>
        <w:numPr>
          <w:ilvl w:val="0"/>
          <w:numId w:val="42"/>
        </w:numPr>
        <w:bidi w:val="0"/>
        <w:ind w:left="425" w:hanging="425" w:leftChars="0" w:firstLineChars="0"/>
        <w:rPr>
          <w:rFonts w:eastAsia="宋体" w:hint="eastAsia"/>
          <w:lang w:val="en-US" w:eastAsia="zh-CN"/>
        </w:rPr>
      </w:pPr>
      <w:r>
        <w:rPr>
          <w:rFonts w:eastAsia="宋体" w:hint="eastAsia"/>
          <w:lang w:val="en-US" w:eastAsia="zh-CN"/>
        </w:rPr>
        <w:t>季度质量报告：详细分析本季度质量状况，包括KPI达成情况、主要问题、改进建议等</w:t>
      </w:r>
    </w:p>
    <w:p>
      <w:pPr>
        <w:pStyle w:val="a1"/>
        <w:numPr>
          <w:ilvl w:val="0"/>
          <w:numId w:val="42"/>
        </w:numPr>
        <w:bidi w:val="0"/>
        <w:ind w:left="425" w:hanging="425" w:leftChars="0" w:firstLineChars="0"/>
        <w:rPr>
          <w:rFonts w:eastAsia="宋体" w:hint="eastAsia"/>
          <w:lang w:val="en-US" w:eastAsia="zh-CN"/>
        </w:rPr>
      </w:pPr>
      <w:r>
        <w:rPr>
          <w:rFonts w:eastAsia="宋体" w:hint="eastAsia"/>
          <w:lang w:val="en-US" w:eastAsia="zh-CN"/>
        </w:rPr>
        <w:t>年度质量报告：年度质量管理计划执行完毕后，产品质量部应撰写《2026年度运维服务质量管理报告》，总结全年质量工作，分析趋势，提出下一年度质量改进建议，提交公司领导审批。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eastAsia="宋体" w:hint="eastAsia"/>
          <w:lang w:val="en-US" w:eastAsia="zh-CN"/>
        </w:rPr>
        <w:t>质量报告应作为管理评审的重要输入。</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CB3B38"/>
    <w:multiLevelType w:val="singleLevel"/>
    <w:tmpl w:val="80CB3B38"/>
    <w:lvl w:ilvl="0">
      <w:start w:val="1"/>
      <w:numFmt w:val="decimal"/>
      <w:lvlText w:val="%1."/>
      <w:lvlJc w:val="left"/>
      <w:pPr>
        <w:ind w:left="425" w:hanging="425"/>
      </w:pPr>
      <w:rPr>
        <w:rFonts w:hint="default"/>
      </w:rPr>
    </w:lvl>
  </w:abstractNum>
  <w:abstractNum w:abstractNumId="1">
    <w:nsid w:val="818EFC34"/>
    <w:multiLevelType w:val="singleLevel"/>
    <w:tmpl w:val="818EFC34"/>
    <w:lvl w:ilvl="0">
      <w:start w:val="1"/>
      <w:numFmt w:val="decimal"/>
      <w:lvlText w:val="%1."/>
      <w:lvlJc w:val="left"/>
      <w:pPr>
        <w:ind w:left="425" w:hanging="425"/>
      </w:pPr>
      <w:rPr>
        <w:rFonts w:hint="default"/>
      </w:rPr>
    </w:lvl>
  </w:abstractNum>
  <w:abstractNum w:abstractNumId="2">
    <w:nsid w:val="8A6D290B"/>
    <w:multiLevelType w:val="singleLevel"/>
    <w:tmpl w:val="8A6D290B"/>
    <w:lvl w:ilvl="0">
      <w:start w:val="1"/>
      <w:numFmt w:val="decimal"/>
      <w:lvlText w:val="%1."/>
      <w:lvlJc w:val="left"/>
      <w:pPr>
        <w:ind w:left="425" w:hanging="425"/>
      </w:pPr>
      <w:rPr>
        <w:rFonts w:hint="default"/>
      </w:rPr>
    </w:lvl>
  </w:abstractNum>
  <w:abstractNum w:abstractNumId="3">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4">
    <w:nsid w:val="921A48FF"/>
    <w:multiLevelType w:val="singleLevel"/>
    <w:tmpl w:val="921A48FF"/>
    <w:lvl w:ilvl="0">
      <w:start w:val="1"/>
      <w:numFmt w:val="decimal"/>
      <w:lvlText w:val="%1."/>
      <w:lvlJc w:val="left"/>
      <w:pPr>
        <w:ind w:left="425" w:hanging="425"/>
      </w:pPr>
      <w:rPr>
        <w:rFonts w:hint="default"/>
      </w:rPr>
    </w:lvl>
  </w:abstractNum>
  <w:abstractNum w:abstractNumId="5">
    <w:nsid w:val="9CC10E9A"/>
    <w:multiLevelType w:val="singleLevel"/>
    <w:tmpl w:val="9CC10E9A"/>
    <w:lvl w:ilvl="0">
      <w:start w:val="1"/>
      <w:numFmt w:val="decimal"/>
      <w:lvlText w:val="%1."/>
      <w:lvlJc w:val="left"/>
      <w:pPr>
        <w:ind w:left="425" w:hanging="425"/>
      </w:pPr>
      <w:rPr>
        <w:rFonts w:hint="default"/>
      </w:rPr>
    </w:lvl>
  </w:abstractNum>
  <w:abstractNum w:abstractNumId="6">
    <w:nsid w:val="A241C4DC"/>
    <w:multiLevelType w:val="singleLevel"/>
    <w:tmpl w:val="A241C4DC"/>
    <w:lvl w:ilvl="0">
      <w:start w:val="1"/>
      <w:numFmt w:val="decimal"/>
      <w:lvlText w:val="%1."/>
      <w:lvlJc w:val="left"/>
      <w:pPr>
        <w:ind w:left="425" w:hanging="425"/>
      </w:pPr>
      <w:rPr>
        <w:rFonts w:hint="default"/>
      </w:rPr>
    </w:lvl>
  </w:abstractNum>
  <w:abstractNum w:abstractNumId="7">
    <w:nsid w:val="B50C925D"/>
    <w:multiLevelType w:val="singleLevel"/>
    <w:tmpl w:val="B50C925D"/>
    <w:lvl w:ilvl="0">
      <w:start w:val="1"/>
      <w:numFmt w:val="decimal"/>
      <w:lvlText w:val="%1."/>
      <w:lvlJc w:val="left"/>
      <w:pPr>
        <w:ind w:left="425" w:hanging="425"/>
      </w:pPr>
      <w:rPr>
        <w:rFonts w:hint="default"/>
      </w:rPr>
    </w:lvl>
  </w:abstractNum>
  <w:abstractNum w:abstractNumId="8">
    <w:nsid w:val="C8A1FBFF"/>
    <w:multiLevelType w:val="singleLevel"/>
    <w:tmpl w:val="C8A1FBFF"/>
    <w:lvl w:ilvl="0">
      <w:start w:val="1"/>
      <w:numFmt w:val="decimal"/>
      <w:lvlText w:val="%1."/>
      <w:lvlJc w:val="left"/>
      <w:pPr>
        <w:ind w:left="425" w:hanging="425"/>
      </w:pPr>
      <w:rPr>
        <w:rFonts w:hint="default"/>
      </w:rPr>
    </w:lvl>
  </w:abstractNum>
  <w:abstractNum w:abstractNumId="9">
    <w:nsid w:val="CB6D8D84"/>
    <w:multiLevelType w:val="singleLevel"/>
    <w:tmpl w:val="CB6D8D84"/>
    <w:lvl w:ilvl="0">
      <w:start w:val="1"/>
      <w:numFmt w:val="decimal"/>
      <w:lvlText w:val="%1."/>
      <w:lvlJc w:val="left"/>
      <w:pPr>
        <w:ind w:left="425" w:hanging="425"/>
      </w:pPr>
      <w:rPr>
        <w:rFonts w:hint="default"/>
      </w:rPr>
    </w:lvl>
  </w:abstractNum>
  <w:abstractNum w:abstractNumId="10">
    <w:nsid w:val="D3AAEBE4"/>
    <w:multiLevelType w:val="singleLevel"/>
    <w:tmpl w:val="D3AAEBE4"/>
    <w:lvl w:ilvl="0">
      <w:start w:val="1"/>
      <w:numFmt w:val="decimal"/>
      <w:lvlText w:val="%1."/>
      <w:lvlJc w:val="left"/>
      <w:pPr>
        <w:ind w:left="425" w:hanging="425"/>
      </w:pPr>
      <w:rPr>
        <w:rFonts w:hint="default"/>
      </w:rPr>
    </w:lvl>
  </w:abstractNum>
  <w:abstractNum w:abstractNumId="11">
    <w:nsid w:val="DB96112D"/>
    <w:multiLevelType w:val="singleLevel"/>
    <w:tmpl w:val="DB96112D"/>
    <w:lvl w:ilvl="0">
      <w:start w:val="1"/>
      <w:numFmt w:val="decimal"/>
      <w:lvlText w:val="%1."/>
      <w:lvlJc w:val="left"/>
      <w:pPr>
        <w:ind w:left="425" w:hanging="425"/>
      </w:pPr>
      <w:rPr>
        <w:rFonts w:hint="default"/>
      </w:rPr>
    </w:lvl>
  </w:abstractNum>
  <w:abstractNum w:abstractNumId="12">
    <w:nsid w:val="DD8896AC"/>
    <w:multiLevelType w:val="singleLevel"/>
    <w:tmpl w:val="DD8896AC"/>
    <w:lvl w:ilvl="0">
      <w:start w:val="1"/>
      <w:numFmt w:val="decimal"/>
      <w:lvlText w:val="%1."/>
      <w:lvlJc w:val="left"/>
      <w:pPr>
        <w:ind w:left="425" w:hanging="425"/>
      </w:pPr>
      <w:rPr>
        <w:rFonts w:hint="default"/>
      </w:rPr>
    </w:lvl>
  </w:abstractNum>
  <w:abstractNum w:abstractNumId="13">
    <w:nsid w:val="EC0C90B2"/>
    <w:multiLevelType w:val="singleLevel"/>
    <w:tmpl w:val="EC0C90B2"/>
    <w:lvl w:ilvl="0">
      <w:start w:val="1"/>
      <w:numFmt w:val="decimal"/>
      <w:lvlText w:val="%1."/>
      <w:lvlJc w:val="left"/>
      <w:pPr>
        <w:ind w:left="425" w:hanging="425"/>
      </w:pPr>
      <w:rPr>
        <w:rFonts w:hint="default"/>
      </w:rPr>
    </w:lvl>
  </w:abstractNum>
  <w:abstractNum w:abstractNumId="14">
    <w:nsid w:val="F0B440C8"/>
    <w:multiLevelType w:val="singleLevel"/>
    <w:tmpl w:val="F0B440C8"/>
    <w:lvl w:ilvl="0">
      <w:start w:val="1"/>
      <w:numFmt w:val="decimal"/>
      <w:lvlText w:val="%1."/>
      <w:lvlJc w:val="left"/>
      <w:pPr>
        <w:ind w:left="425" w:hanging="425"/>
      </w:pPr>
      <w:rPr>
        <w:rFonts w:hint="default"/>
      </w:rPr>
    </w:lvl>
  </w:abstractNum>
  <w:abstractNum w:abstractNumId="15">
    <w:nsid w:val="F34FBE10"/>
    <w:multiLevelType w:val="singleLevel"/>
    <w:tmpl w:val="F34FBE10"/>
    <w:lvl w:ilvl="0">
      <w:start w:val="1"/>
      <w:numFmt w:val="decimal"/>
      <w:lvlText w:val="%1."/>
      <w:lvlJc w:val="left"/>
      <w:pPr>
        <w:ind w:left="425" w:hanging="425"/>
      </w:pPr>
      <w:rPr>
        <w:rFonts w:hint="default"/>
      </w:rPr>
    </w:lvl>
  </w:abstractNum>
  <w:abstractNum w:abstractNumId="16">
    <w:nsid w:val="F8B87118"/>
    <w:multiLevelType w:val="singleLevel"/>
    <w:tmpl w:val="F8B87118"/>
    <w:lvl w:ilvl="0">
      <w:start w:val="1"/>
      <w:numFmt w:val="decimal"/>
      <w:lvlText w:val="%1."/>
      <w:lvlJc w:val="left"/>
      <w:pPr>
        <w:ind w:left="425" w:hanging="425"/>
      </w:pPr>
      <w:rPr>
        <w:rFonts w:hint="default"/>
      </w:rPr>
    </w:lvl>
  </w:abstractNum>
  <w:abstractNum w:abstractNumId="17">
    <w:nsid w:val="FC92F113"/>
    <w:multiLevelType w:val="singleLevel"/>
    <w:tmpl w:val="FC92F113"/>
    <w:lvl w:ilvl="0">
      <w:start w:val="1"/>
      <w:numFmt w:val="decimal"/>
      <w:lvlText w:val="%1."/>
      <w:lvlJc w:val="left"/>
      <w:pPr>
        <w:ind w:left="425" w:hanging="425"/>
      </w:pPr>
      <w:rPr>
        <w:rFonts w:hint="default"/>
      </w:rPr>
    </w:lvl>
  </w:abstractNum>
  <w:abstractNum w:abstractNumId="18">
    <w:nsid w:val="02B5B86F"/>
    <w:multiLevelType w:val="singleLevel"/>
    <w:tmpl w:val="02B5B86F"/>
    <w:lvl w:ilvl="0">
      <w:start w:val="1"/>
      <w:numFmt w:val="decimal"/>
      <w:lvlText w:val="(%1)"/>
      <w:lvlJc w:val="left"/>
      <w:pPr>
        <w:tabs>
          <w:tab w:val="left" w:pos="420"/>
        </w:tabs>
        <w:ind w:left="845" w:hanging="425"/>
      </w:pPr>
      <w:rPr>
        <w:rFonts w:hint="default"/>
      </w:rPr>
    </w:lvl>
  </w:abstractNum>
  <w:abstractNum w:abstractNumId="19">
    <w:nsid w:val="0817D10C"/>
    <w:multiLevelType w:val="singleLevel"/>
    <w:tmpl w:val="0817D10C"/>
    <w:lvl w:ilvl="0">
      <w:start w:val="1"/>
      <w:numFmt w:val="decimal"/>
      <w:lvlText w:val="%1."/>
      <w:lvlJc w:val="left"/>
      <w:pPr>
        <w:ind w:left="425" w:hanging="425"/>
      </w:pPr>
      <w:rPr>
        <w:rFonts w:hint="default"/>
      </w:rPr>
    </w:lvl>
  </w:abstractNum>
  <w:abstractNum w:abstractNumId="20">
    <w:nsid w:val="0E1BE157"/>
    <w:multiLevelType w:val="singleLevel"/>
    <w:tmpl w:val="0E1BE157"/>
    <w:lvl w:ilvl="0">
      <w:start w:val="1"/>
      <w:numFmt w:val="decimal"/>
      <w:lvlText w:val="%1."/>
      <w:lvlJc w:val="left"/>
      <w:pPr>
        <w:ind w:left="425" w:hanging="425"/>
      </w:pPr>
      <w:rPr>
        <w:rFonts w:hint="default"/>
      </w:rPr>
    </w:lvl>
  </w:abstractNum>
  <w:abstractNum w:abstractNumId="21">
    <w:nsid w:val="0E9F76DA"/>
    <w:multiLevelType w:val="singleLevel"/>
    <w:tmpl w:val="0E9F76DA"/>
    <w:lvl w:ilvl="0">
      <w:start w:val="1"/>
      <w:numFmt w:val="decimal"/>
      <w:lvlText w:val="%1."/>
      <w:lvlJc w:val="left"/>
      <w:pPr>
        <w:ind w:left="425" w:hanging="425"/>
      </w:pPr>
      <w:rPr>
        <w:rFonts w:hint="default"/>
      </w:rPr>
    </w:lvl>
  </w:abstractNum>
  <w:abstractNum w:abstractNumId="22">
    <w:nsid w:val="107F4E6D"/>
    <w:multiLevelType w:val="singleLevel"/>
    <w:tmpl w:val="107F4E6D"/>
    <w:lvl w:ilvl="0">
      <w:start w:val="1"/>
      <w:numFmt w:val="decimal"/>
      <w:lvlText w:val="%1."/>
      <w:lvlJc w:val="left"/>
      <w:pPr>
        <w:ind w:left="425" w:hanging="425"/>
      </w:pPr>
      <w:rPr>
        <w:rFonts w:hint="default"/>
      </w:rPr>
    </w:lvl>
  </w:abstractNum>
  <w:abstractNum w:abstractNumId="23">
    <w:nsid w:val="109D151E"/>
    <w:multiLevelType w:val="singleLevel"/>
    <w:tmpl w:val="109D151E"/>
    <w:lvl w:ilvl="0">
      <w:start w:val="1"/>
      <w:numFmt w:val="decimal"/>
      <w:lvlText w:val="%1."/>
      <w:lvlJc w:val="left"/>
      <w:pPr>
        <w:ind w:left="425" w:hanging="425"/>
      </w:pPr>
      <w:rPr>
        <w:rFonts w:hint="default"/>
      </w:rPr>
    </w:lvl>
  </w:abstractNum>
  <w:abstractNum w:abstractNumId="24">
    <w:nsid w:val="14B1C765"/>
    <w:multiLevelType w:val="singleLevel"/>
    <w:tmpl w:val="14B1C765"/>
    <w:lvl w:ilvl="0">
      <w:start w:val="1"/>
      <w:numFmt w:val="decimal"/>
      <w:lvlText w:val="(%1)"/>
      <w:lvlJc w:val="left"/>
      <w:pPr>
        <w:tabs>
          <w:tab w:val="left" w:pos="420"/>
        </w:tabs>
        <w:ind w:left="845" w:hanging="425"/>
      </w:pPr>
      <w:rPr>
        <w:rFonts w:hint="default"/>
      </w:rPr>
    </w:lvl>
  </w:abstractNum>
  <w:abstractNum w:abstractNumId="25">
    <w:nsid w:val="160C24C1"/>
    <w:multiLevelType w:val="singleLevel"/>
    <w:tmpl w:val="160C24C1"/>
    <w:lvl w:ilvl="0">
      <w:start w:val="1"/>
      <w:numFmt w:val="decimal"/>
      <w:lvlText w:val="%1."/>
      <w:lvlJc w:val="left"/>
      <w:pPr>
        <w:ind w:left="425" w:hanging="425"/>
      </w:pPr>
      <w:rPr>
        <w:rFonts w:hint="default"/>
      </w:rPr>
    </w:lvl>
  </w:abstractNum>
  <w:abstractNum w:abstractNumId="26">
    <w:nsid w:val="19B45B58"/>
    <w:multiLevelType w:val="singleLevel"/>
    <w:tmpl w:val="19B45B58"/>
    <w:lvl w:ilvl="0">
      <w:start w:val="1"/>
      <w:numFmt w:val="decimal"/>
      <w:lvlText w:val="%1."/>
      <w:lvlJc w:val="left"/>
      <w:pPr>
        <w:ind w:left="425" w:hanging="425"/>
      </w:pPr>
      <w:rPr>
        <w:rFonts w:hint="default"/>
      </w:rPr>
    </w:lvl>
  </w:abstractNum>
  <w:abstractNum w:abstractNumId="27">
    <w:nsid w:val="1CDD9E06"/>
    <w:multiLevelType w:val="singleLevel"/>
    <w:tmpl w:val="1CDD9E06"/>
    <w:lvl w:ilvl="0">
      <w:start w:val="1"/>
      <w:numFmt w:val="decimal"/>
      <w:lvlText w:val="(%1)"/>
      <w:lvlJc w:val="left"/>
      <w:pPr>
        <w:tabs>
          <w:tab w:val="left" w:pos="420"/>
        </w:tabs>
        <w:ind w:left="845" w:hanging="425"/>
      </w:pPr>
      <w:rPr>
        <w:rFonts w:hint="default"/>
      </w:rPr>
    </w:lvl>
  </w:abstractNum>
  <w:abstractNum w:abstractNumId="28">
    <w:nsid w:val="223B8F42"/>
    <w:multiLevelType w:val="singleLevel"/>
    <w:tmpl w:val="223B8F42"/>
    <w:lvl w:ilvl="0">
      <w:start w:val="1"/>
      <w:numFmt w:val="decimal"/>
      <w:lvlText w:val="%1."/>
      <w:lvlJc w:val="left"/>
      <w:pPr>
        <w:ind w:left="425" w:hanging="425"/>
      </w:pPr>
      <w:rPr>
        <w:rFonts w:hint="default"/>
      </w:rPr>
    </w:lvl>
  </w:abstractNum>
  <w:abstractNum w:abstractNumId="29">
    <w:nsid w:val="24693B9F"/>
    <w:multiLevelType w:val="singleLevel"/>
    <w:tmpl w:val="24693B9F"/>
    <w:lvl w:ilvl="0">
      <w:start w:val="1"/>
      <w:numFmt w:val="decimal"/>
      <w:lvlText w:val="%1."/>
      <w:lvlJc w:val="left"/>
      <w:pPr>
        <w:ind w:left="425" w:hanging="425"/>
      </w:pPr>
      <w:rPr>
        <w:rFonts w:hint="default"/>
      </w:rPr>
    </w:lvl>
  </w:abstractNum>
  <w:abstractNum w:abstractNumId="30">
    <w:nsid w:val="24C06536"/>
    <w:multiLevelType w:val="singleLevel"/>
    <w:tmpl w:val="24C06536"/>
    <w:lvl w:ilvl="0">
      <w:start w:val="1"/>
      <w:numFmt w:val="decimal"/>
      <w:lvlText w:val="%1."/>
      <w:lvlJc w:val="left"/>
      <w:pPr>
        <w:ind w:left="425" w:hanging="425"/>
      </w:pPr>
      <w:rPr>
        <w:rFonts w:hint="default"/>
      </w:rPr>
    </w:lvl>
  </w:abstractNum>
  <w:abstractNum w:abstractNumId="31">
    <w:nsid w:val="2DE18BE8"/>
    <w:multiLevelType w:val="singleLevel"/>
    <w:tmpl w:val="2DE18BE8"/>
    <w:lvl w:ilvl="0">
      <w:start w:val="1"/>
      <w:numFmt w:val="decimal"/>
      <w:lvlText w:val="%1."/>
      <w:lvlJc w:val="left"/>
      <w:pPr>
        <w:ind w:left="425" w:hanging="425"/>
      </w:pPr>
      <w:rPr>
        <w:rFonts w:hint="default"/>
      </w:rPr>
    </w:lvl>
  </w:abstractNum>
  <w:abstractNum w:abstractNumId="32">
    <w:nsid w:val="3A67D094"/>
    <w:multiLevelType w:val="singleLevel"/>
    <w:tmpl w:val="3A67D094"/>
    <w:lvl w:ilvl="0">
      <w:start w:val="1"/>
      <w:numFmt w:val="decimal"/>
      <w:lvlText w:val="%1."/>
      <w:lvlJc w:val="left"/>
      <w:pPr>
        <w:ind w:left="425" w:hanging="425"/>
      </w:pPr>
      <w:rPr>
        <w:rFonts w:hint="default"/>
      </w:rPr>
    </w:lvl>
  </w:abstractNum>
  <w:abstractNum w:abstractNumId="33">
    <w:nsid w:val="44D5E805"/>
    <w:multiLevelType w:val="singleLevel"/>
    <w:tmpl w:val="44D5E805"/>
    <w:lvl w:ilvl="0">
      <w:start w:val="1"/>
      <w:numFmt w:val="decimal"/>
      <w:lvlText w:val="%1."/>
      <w:lvlJc w:val="left"/>
      <w:pPr>
        <w:ind w:left="425" w:hanging="425"/>
      </w:pPr>
      <w:rPr>
        <w:rFonts w:hint="default"/>
      </w:rPr>
    </w:lvl>
  </w:abstractNum>
  <w:abstractNum w:abstractNumId="34">
    <w:nsid w:val="45A220CC"/>
    <w:multiLevelType w:val="singleLevel"/>
    <w:tmpl w:val="45A220CC"/>
    <w:lvl w:ilvl="0">
      <w:start w:val="1"/>
      <w:numFmt w:val="decimal"/>
      <w:lvlText w:val="%1."/>
      <w:lvlJc w:val="left"/>
      <w:pPr>
        <w:ind w:left="425" w:hanging="425"/>
      </w:pPr>
      <w:rPr>
        <w:rFonts w:hint="default"/>
      </w:rPr>
    </w:lvl>
  </w:abstractNum>
  <w:abstractNum w:abstractNumId="35">
    <w:nsid w:val="50FCB332"/>
    <w:multiLevelType w:val="singleLevel"/>
    <w:tmpl w:val="50FCB332"/>
    <w:lvl w:ilvl="0">
      <w:start w:val="1"/>
      <w:numFmt w:val="decimal"/>
      <w:lvlText w:val="%1."/>
      <w:lvlJc w:val="left"/>
      <w:pPr>
        <w:ind w:left="425" w:hanging="425"/>
      </w:pPr>
      <w:rPr>
        <w:rFonts w:hint="default"/>
      </w:rPr>
    </w:lvl>
  </w:abstractNum>
  <w:abstractNum w:abstractNumId="36">
    <w:nsid w:val="57CB4D30"/>
    <w:multiLevelType w:val="singleLevel"/>
    <w:tmpl w:val="57CB4D30"/>
    <w:lvl w:ilvl="0">
      <w:start w:val="1"/>
      <w:numFmt w:val="decimal"/>
      <w:lvlText w:val="%1."/>
      <w:lvlJc w:val="left"/>
      <w:pPr>
        <w:ind w:left="425" w:hanging="425"/>
      </w:pPr>
      <w:rPr>
        <w:rFonts w:hint="default"/>
      </w:rPr>
    </w:lvl>
  </w:abstractNum>
  <w:abstractNum w:abstractNumId="37">
    <w:nsid w:val="5CD7A480"/>
    <w:multiLevelType w:val="singleLevel"/>
    <w:tmpl w:val="5CD7A480"/>
    <w:lvl w:ilvl="0">
      <w:start w:val="1"/>
      <w:numFmt w:val="decimal"/>
      <w:lvlText w:val="%1."/>
      <w:lvlJc w:val="left"/>
      <w:pPr>
        <w:ind w:left="425" w:hanging="425"/>
      </w:pPr>
      <w:rPr>
        <w:rFonts w:hint="default"/>
      </w:rPr>
    </w:lvl>
  </w:abstractNum>
  <w:abstractNum w:abstractNumId="38">
    <w:nsid w:val="5D99ECE3"/>
    <w:multiLevelType w:val="singleLevel"/>
    <w:tmpl w:val="5D99ECE3"/>
    <w:lvl w:ilvl="0">
      <w:start w:val="1"/>
      <w:numFmt w:val="decimal"/>
      <w:lvlText w:val="%1."/>
      <w:lvlJc w:val="left"/>
      <w:pPr>
        <w:ind w:left="425" w:hanging="425"/>
      </w:pPr>
      <w:rPr>
        <w:rFonts w:hint="default"/>
      </w:rPr>
    </w:lvl>
  </w:abstractNum>
  <w:abstractNum w:abstractNumId="39">
    <w:nsid w:val="66A454BF"/>
    <w:multiLevelType w:val="singleLevel"/>
    <w:tmpl w:val="66A454BF"/>
    <w:lvl w:ilvl="0">
      <w:start w:val="1"/>
      <w:numFmt w:val="decimal"/>
      <w:lvlText w:val="%1."/>
      <w:lvlJc w:val="left"/>
      <w:pPr>
        <w:ind w:left="425" w:hanging="425"/>
      </w:pPr>
      <w:rPr>
        <w:rFonts w:hint="default"/>
      </w:rPr>
    </w:lvl>
  </w:abstractNum>
  <w:abstractNum w:abstractNumId="40">
    <w:nsid w:val="68FEFF48"/>
    <w:multiLevelType w:val="singleLevel"/>
    <w:tmpl w:val="68FEFF48"/>
    <w:lvl w:ilvl="0">
      <w:start w:val="1"/>
      <w:numFmt w:val="decimal"/>
      <w:lvlText w:val="%1."/>
      <w:lvlJc w:val="left"/>
      <w:pPr>
        <w:ind w:left="425" w:hanging="425"/>
      </w:pPr>
      <w:rPr>
        <w:rFonts w:hint="default"/>
      </w:rPr>
    </w:lvl>
  </w:abstractNum>
  <w:abstractNum w:abstractNumId="41">
    <w:nsid w:val="79D4EBC6"/>
    <w:multiLevelType w:val="singleLevel"/>
    <w:tmpl w:val="79D4EBC6"/>
    <w:lvl w:ilvl="0">
      <w:start w:val="1"/>
      <w:numFmt w:val="decimal"/>
      <w:lvlText w:val="%1."/>
      <w:lvlJc w:val="left"/>
      <w:pPr>
        <w:ind w:left="425" w:hanging="425"/>
      </w:pPr>
      <w:rPr>
        <w:rFonts w:hint="default"/>
      </w:rPr>
    </w:lvl>
  </w:abstractNum>
  <w:num w:numId="1">
    <w:abstractNumId w:val="3"/>
  </w:num>
  <w:num w:numId="2">
    <w:abstractNumId w:val="12"/>
  </w:num>
  <w:num w:numId="3">
    <w:abstractNumId w:val="30"/>
  </w:num>
  <w:num w:numId="4">
    <w:abstractNumId w:val="11"/>
  </w:num>
  <w:num w:numId="5">
    <w:abstractNumId w:val="20"/>
  </w:num>
  <w:num w:numId="6">
    <w:abstractNumId w:val="23"/>
  </w:num>
  <w:num w:numId="7">
    <w:abstractNumId w:val="34"/>
  </w:num>
  <w:num w:numId="8">
    <w:abstractNumId w:val="7"/>
  </w:num>
  <w:num w:numId="9">
    <w:abstractNumId w:val="4"/>
  </w:num>
  <w:num w:numId="10">
    <w:abstractNumId w:val="1"/>
  </w:num>
  <w:num w:numId="11">
    <w:abstractNumId w:val="39"/>
  </w:num>
  <w:num w:numId="12">
    <w:abstractNumId w:val="5"/>
  </w:num>
  <w:num w:numId="13">
    <w:abstractNumId w:val="6"/>
  </w:num>
  <w:num w:numId="14">
    <w:abstractNumId w:val="37"/>
  </w:num>
  <w:num w:numId="15">
    <w:abstractNumId w:val="15"/>
  </w:num>
  <w:num w:numId="16">
    <w:abstractNumId w:val="33"/>
  </w:num>
  <w:num w:numId="17">
    <w:abstractNumId w:val="10"/>
  </w:num>
  <w:num w:numId="18">
    <w:abstractNumId w:val="16"/>
  </w:num>
  <w:num w:numId="19">
    <w:abstractNumId w:val="2"/>
  </w:num>
  <w:num w:numId="20">
    <w:abstractNumId w:val="36"/>
  </w:num>
  <w:num w:numId="21">
    <w:abstractNumId w:val="28"/>
  </w:num>
  <w:num w:numId="22">
    <w:abstractNumId w:val="8"/>
  </w:num>
  <w:num w:numId="23">
    <w:abstractNumId w:val="35"/>
  </w:num>
  <w:num w:numId="24">
    <w:abstractNumId w:val="22"/>
  </w:num>
  <w:num w:numId="25">
    <w:abstractNumId w:val="21"/>
  </w:num>
  <w:num w:numId="26">
    <w:abstractNumId w:val="29"/>
  </w:num>
  <w:num w:numId="27">
    <w:abstractNumId w:val="40"/>
  </w:num>
  <w:num w:numId="28">
    <w:abstractNumId w:val="13"/>
  </w:num>
  <w:num w:numId="29">
    <w:abstractNumId w:val="31"/>
  </w:num>
  <w:num w:numId="30">
    <w:abstractNumId w:val="25"/>
  </w:num>
  <w:num w:numId="31">
    <w:abstractNumId w:val="17"/>
  </w:num>
  <w:num w:numId="32">
    <w:abstractNumId w:val="24"/>
  </w:num>
  <w:num w:numId="33">
    <w:abstractNumId w:val="26"/>
  </w:num>
  <w:num w:numId="34">
    <w:abstractNumId w:val="0"/>
  </w:num>
  <w:num w:numId="35">
    <w:abstractNumId w:val="27"/>
  </w:num>
  <w:num w:numId="36">
    <w:abstractNumId w:val="18"/>
  </w:num>
  <w:num w:numId="37">
    <w:abstractNumId w:val="14"/>
  </w:num>
  <w:num w:numId="38">
    <w:abstractNumId w:val="41"/>
  </w:num>
  <w:num w:numId="39">
    <w:abstractNumId w:val="19"/>
  </w:num>
  <w:num w:numId="40">
    <w:abstractNumId w:val="9"/>
  </w:num>
  <w:num w:numId="41">
    <w:abstractNumId w:val="38"/>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33</Pages>
  <Words>2676</Words>
  <Characters>3252</Characters>
  <Application>Microsoft Office Word</Application>
  <DocSecurity>0</DocSecurity>
  <Lines>0</Lines>
  <Paragraphs>0</Paragraphs>
  <ScaleCrop>false</ScaleCrop>
  <Company/>
  <LinksUpToDate>false</LinksUpToDate>
  <CharactersWithSpaces>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2026-06-09T16:44:03Z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