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2026年度运维服务能力管理报告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（截止2026年4月）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HFSJ-ITSS-0309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2026.4.30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207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_Toc14104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报告概况</w:t>
          </w:r>
          <w:r>
            <w:tab/>
          </w:r>
          <w:r>
            <w:fldChar w:fldCharType="begin"/>
          </w:r>
          <w:r>
            <w:instrText xml:space="preserve"> PAGEREF _Toc14104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_Toc9133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 xml:space="preserve"> </w:t>
          </w:r>
          <w:r>
            <w:tab/>
          </w:r>
          <w:r>
            <w:fldChar w:fldCharType="begin"/>
          </w:r>
          <w:r>
            <w:instrText xml:space="preserve"> PAGEREF _Toc9133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_Toc17138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报告目的</w:t>
          </w:r>
          <w:r>
            <w:t xml:space="preserve"> </w:t>
          </w:r>
          <w:r>
            <w:tab/>
          </w:r>
          <w:r>
            <w:fldChar w:fldCharType="begin"/>
          </w:r>
          <w:r>
            <w:instrText xml:space="preserve"> PAGEREF _Toc17138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_Toc14600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2026年改进措施落实情况</w:t>
          </w:r>
          <w:r>
            <w:t xml:space="preserve"> </w:t>
          </w:r>
          <w:r>
            <w:tab/>
          </w:r>
          <w:r>
            <w:fldChar w:fldCharType="begin"/>
          </w:r>
          <w:r>
            <w:instrText xml:space="preserve"> PAGEREF _Toc14600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人员管理报告</w:t>
          </w:r>
          <w:r>
            <w:tab/>
          </w:r>
          <w:r>
            <w:fldChar w:fldCharType="begin"/>
          </w:r>
          <w:r>
            <w:instrText xml:space="preserve"> PAGEREF _Toc4682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_Toc28264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人员招聘计划执行情况</w:t>
          </w:r>
          <w:r>
            <w:tab/>
          </w:r>
          <w:r>
            <w:fldChar w:fldCharType="begin"/>
          </w:r>
          <w:r>
            <w:instrText xml:space="preserve"> PAGEREF _Toc28264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_Toc4879 </w:instrText>
          </w:r>
          <w:r>
            <w:fldChar w:fldCharType="separate"/>
          </w:r>
          <w:r>
            <w:rPr>
              <w:rFonts w:hint="default"/>
            </w:rPr>
            <w:t xml:space="preserve">2.1.1. </w:t>
          </w:r>
          <w:r>
            <w:t>招聘完成情况</w:t>
          </w:r>
          <w:r>
            <w:tab/>
          </w:r>
          <w:r>
            <w:fldChar w:fldCharType="begin"/>
          </w:r>
          <w:r>
            <w:instrText xml:space="preserve"> PAGEREF _Toc4879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_Toc26626 </w:instrText>
          </w:r>
          <w:r>
            <w:fldChar w:fldCharType="separate"/>
          </w:r>
          <w:r>
            <w:rPr>
              <w:rFonts w:hint="default"/>
            </w:rPr>
            <w:t xml:space="preserve">2.1.2. </w:t>
          </w:r>
          <w:r>
            <w:t>招聘工作成效</w:t>
          </w:r>
          <w:r>
            <w:tab/>
          </w:r>
          <w:r>
            <w:fldChar w:fldCharType="begin"/>
          </w:r>
          <w:r>
            <w:instrText xml:space="preserve"> PAGEREF _Toc26626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_Toc5795 </w:instrText>
          </w:r>
          <w:r>
            <w:fldChar w:fldCharType="separate"/>
          </w:r>
          <w:r>
            <w:rPr>
              <w:rFonts w:hint="default"/>
            </w:rPr>
            <w:t xml:space="preserve">2.1.3.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_Toc5795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_Toc24517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人员储备计划执行情况</w:t>
          </w:r>
          <w:r>
            <w:tab/>
          </w:r>
          <w:r>
            <w:fldChar w:fldCharType="begin"/>
          </w:r>
          <w:r>
            <w:instrText xml:space="preserve"> PAGEREF _Toc24517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_Toc11516 </w:instrText>
          </w:r>
          <w:r>
            <w:fldChar w:fldCharType="separate"/>
          </w:r>
          <w:r>
            <w:rPr>
              <w:rFonts w:hint="default"/>
            </w:rPr>
            <w:t xml:space="preserve">2.2.1. </w:t>
          </w:r>
          <w:r>
            <w:t>储备完成情况</w:t>
          </w:r>
          <w:r>
            <w:tab/>
          </w:r>
          <w:r>
            <w:fldChar w:fldCharType="begin"/>
          </w:r>
          <w:r>
            <w:instrText xml:space="preserve"> PAGEREF _Toc11516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_Toc5231 </w:instrText>
          </w:r>
          <w:r>
            <w:fldChar w:fldCharType="separate"/>
          </w:r>
          <w:r>
            <w:rPr>
              <w:rFonts w:hint="default"/>
            </w:rPr>
            <w:t xml:space="preserve">2.2.2. </w:t>
          </w:r>
          <w:r>
            <w:t>储备培养情况</w:t>
          </w:r>
          <w:r>
            <w:tab/>
          </w:r>
          <w:r>
            <w:fldChar w:fldCharType="begin"/>
          </w:r>
          <w:r>
            <w:instrText xml:space="preserve"> PAGEREF _Toc5231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_Toc22016 </w:instrText>
          </w:r>
          <w:r>
            <w:fldChar w:fldCharType="separate"/>
          </w:r>
          <w:r>
            <w:rPr>
              <w:rFonts w:hint="default"/>
            </w:rPr>
            <w:t xml:space="preserve">2.2.3.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_Toc22016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_Toc14849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人员培训计划执行情况</w:t>
          </w:r>
          <w:r>
            <w:tab/>
          </w:r>
          <w:r>
            <w:fldChar w:fldCharType="begin"/>
          </w:r>
          <w:r>
            <w:instrText xml:space="preserve"> PAGEREF _Toc14849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_Toc8850 </w:instrText>
          </w:r>
          <w:r>
            <w:fldChar w:fldCharType="separate"/>
          </w:r>
          <w:r>
            <w:rPr>
              <w:rFonts w:hint="default"/>
            </w:rPr>
            <w:t xml:space="preserve">2.3.1. </w:t>
          </w:r>
          <w:r>
            <w:t>培训完成情况</w:t>
          </w:r>
          <w:r>
            <w:tab/>
          </w:r>
          <w:r>
            <w:fldChar w:fldCharType="begin"/>
          </w:r>
          <w:r>
            <w:instrText xml:space="preserve"> PAGEREF _Toc8850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_Toc16147 </w:instrText>
          </w:r>
          <w:r>
            <w:fldChar w:fldCharType="separate"/>
          </w:r>
          <w:r>
            <w:rPr>
              <w:rFonts w:hint="default"/>
            </w:rPr>
            <w:t xml:space="preserve">2.3.2. </w:t>
          </w:r>
          <w:r>
            <w:t>培训预算执行情况</w:t>
          </w:r>
          <w:r>
            <w:tab/>
          </w:r>
          <w:r>
            <w:fldChar w:fldCharType="begin"/>
          </w:r>
          <w:r>
            <w:instrText xml:space="preserve"> PAGEREF _Toc16147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_Toc27428 </w:instrText>
          </w:r>
          <w:r>
            <w:fldChar w:fldCharType="separate"/>
          </w:r>
          <w:r>
            <w:rPr>
              <w:rFonts w:hint="default"/>
            </w:rPr>
            <w:t xml:space="preserve">2.3.3. </w:t>
          </w:r>
          <w:r>
            <w:t>培训效果评估</w:t>
          </w:r>
          <w:r>
            <w:tab/>
          </w:r>
          <w:r>
            <w:fldChar w:fldCharType="begin"/>
          </w:r>
          <w:r>
            <w:instrText xml:space="preserve"> PAGEREF _Toc27428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_Toc5536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t>关键岗位备份计划执行情况</w:t>
          </w:r>
          <w:r>
            <w:tab/>
          </w:r>
          <w:r>
            <w:fldChar w:fldCharType="begin"/>
          </w:r>
          <w:r>
            <w:instrText xml:space="preserve"> PAGEREF _Toc5536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_Toc12243 </w:instrText>
          </w:r>
          <w:r>
            <w:fldChar w:fldCharType="separate"/>
          </w:r>
          <w:r>
            <w:rPr>
              <w:rFonts w:hint="default"/>
            </w:rPr>
            <w:t xml:space="preserve">2.4.1. </w:t>
          </w:r>
          <w:r>
            <w:t>备份完成情况</w:t>
          </w:r>
          <w:r>
            <w:tab/>
          </w:r>
          <w:r>
            <w:fldChar w:fldCharType="begin"/>
          </w:r>
          <w:r>
            <w:instrText xml:space="preserve"> PAGEREF _Toc12243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_Toc25396 </w:instrText>
          </w:r>
          <w:r>
            <w:fldChar w:fldCharType="separate"/>
          </w:r>
          <w:r>
            <w:rPr>
              <w:rFonts w:hint="default"/>
            </w:rPr>
            <w:t xml:space="preserve">2.4.2. </w:t>
          </w:r>
          <w:r>
            <w:t>备份人员能力达标情况</w:t>
          </w:r>
          <w:r>
            <w:tab/>
          </w:r>
          <w:r>
            <w:fldChar w:fldCharType="begin"/>
          </w:r>
          <w:r>
            <w:instrText xml:space="preserve"> PAGEREF _Toc25396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_Toc5712 </w:instrText>
          </w:r>
          <w:r>
            <w:fldChar w:fldCharType="separate"/>
          </w:r>
          <w:r>
            <w:rPr>
              <w:rFonts w:hint="default"/>
            </w:rPr>
            <w:t xml:space="preserve">2.5. </w:t>
          </w:r>
          <w:r>
            <w:t>人员绩效考核执行情况</w:t>
          </w:r>
          <w:r>
            <w:tab/>
          </w:r>
          <w:r>
            <w:fldChar w:fldCharType="begin"/>
          </w:r>
          <w:r>
            <w:instrText xml:space="preserve"> PAGEREF _Toc5712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_Toc23473 </w:instrText>
          </w:r>
          <w:r>
            <w:fldChar w:fldCharType="separate"/>
          </w:r>
          <w:r>
            <w:rPr>
              <w:rFonts w:hint="default"/>
            </w:rPr>
            <w:t xml:space="preserve">2.5.1. </w:t>
          </w:r>
          <w:r>
            <w:t>考核完成情况</w:t>
          </w:r>
          <w:r>
            <w:tab/>
          </w:r>
          <w:r>
            <w:fldChar w:fldCharType="begin"/>
          </w:r>
          <w:r>
            <w:instrText xml:space="preserve"> PAGEREF _Toc23473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_Toc23587 </w:instrText>
          </w:r>
          <w:r>
            <w:fldChar w:fldCharType="separate"/>
          </w:r>
          <w:r>
            <w:rPr>
              <w:rFonts w:hint="default"/>
            </w:rPr>
            <w:t xml:space="preserve">2.5.2. </w:t>
          </w:r>
          <w:r>
            <w:t>绩效考核及时完成率</w:t>
          </w:r>
          <w:r>
            <w:tab/>
          </w:r>
          <w:r>
            <w:fldChar w:fldCharType="begin"/>
          </w:r>
          <w:r>
            <w:instrText xml:space="preserve"> PAGEREF _Toc23587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_Toc25340 </w:instrText>
          </w:r>
          <w:r>
            <w:fldChar w:fldCharType="separate"/>
          </w:r>
          <w:r>
            <w:rPr>
              <w:rFonts w:hint="default"/>
            </w:rPr>
            <w:t xml:space="preserve">2.6. </w:t>
          </w:r>
          <w:r>
            <w:t>人员能力评价执行情况</w:t>
          </w:r>
          <w:r>
            <w:tab/>
          </w:r>
          <w:r>
            <w:fldChar w:fldCharType="begin"/>
          </w:r>
          <w:r>
            <w:instrText xml:space="preserve"> PAGEREF _Toc25340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_Toc2067 </w:instrText>
          </w:r>
          <w:r>
            <w:fldChar w:fldCharType="separate"/>
          </w:r>
          <w:r>
            <w:rPr>
              <w:rFonts w:hint="default"/>
            </w:rPr>
            <w:t xml:space="preserve">2.6.1. </w:t>
          </w:r>
          <w:r>
            <w:t>评价完成情况</w:t>
          </w:r>
          <w:r>
            <w:tab/>
          </w:r>
          <w:r>
            <w:fldChar w:fldCharType="begin"/>
          </w:r>
          <w:r>
            <w:instrText xml:space="preserve"> PAGEREF _Toc2067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资源管理报告</w:t>
          </w:r>
          <w:r>
            <w:tab/>
          </w:r>
          <w:r>
            <w:fldChar w:fldCharType="begin"/>
          </w:r>
          <w:r>
            <w:instrText xml:space="preserve"> PAGEREF _Toc13651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_Toc15285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运维工具管理</w:t>
          </w:r>
          <w:r>
            <w:tab/>
          </w:r>
          <w:r>
            <w:fldChar w:fldCharType="begin"/>
          </w:r>
          <w:r>
            <w:instrText xml:space="preserve"> PAGEREF _Toc15285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_Toc4895 </w:instrText>
          </w:r>
          <w:r>
            <w:fldChar w:fldCharType="separate"/>
          </w:r>
          <w:r>
            <w:rPr>
              <w:rFonts w:hint="default"/>
            </w:rPr>
            <w:t xml:space="preserve">3.1.1. </w:t>
          </w:r>
          <w:r>
            <w:t>管理体系概述</w:t>
          </w:r>
          <w:r>
            <w:tab/>
          </w:r>
          <w:r>
            <w:fldChar w:fldCharType="begin"/>
          </w:r>
          <w:r>
            <w:instrText xml:space="preserve"> PAGEREF _Toc4895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_Toc20068 </w:instrText>
          </w:r>
          <w:r>
            <w:fldChar w:fldCharType="separate"/>
          </w:r>
          <w:r>
            <w:rPr>
              <w:rFonts w:hint="default"/>
            </w:rPr>
            <w:t xml:space="preserve">3.1.2. </w:t>
          </w:r>
          <w: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_Toc20068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_Toc5240 </w:instrText>
          </w:r>
          <w:r>
            <w:fldChar w:fldCharType="separate"/>
          </w:r>
          <w:r>
            <w:rPr>
              <w:rFonts w:hint="default"/>
            </w:rPr>
            <w:t xml:space="preserve">3.1.3.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_Toc5240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_Toc25923 </w:instrText>
          </w:r>
          <w:r>
            <w:fldChar w:fldCharType="separate"/>
          </w:r>
          <w:r>
            <w:rPr>
              <w:rFonts w:hint="default"/>
            </w:rPr>
            <w:t xml:space="preserve">3.1.4.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_Toc25923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_Toc10686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服务台应用情况</w:t>
          </w:r>
          <w:r>
            <w:tab/>
          </w:r>
          <w:r>
            <w:fldChar w:fldCharType="begin"/>
          </w:r>
          <w:r>
            <w:instrText xml:space="preserve"> PAGEREF _Toc10686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_Toc6126 </w:instrText>
          </w:r>
          <w:r>
            <w:fldChar w:fldCharType="separate"/>
          </w:r>
          <w:r>
            <w:rPr>
              <w:rFonts w:hint="default"/>
            </w:rPr>
            <w:t xml:space="preserve">3.2.1. </w:t>
          </w:r>
          <w:r>
            <w:t>服务台管理体系概述</w:t>
          </w:r>
          <w:r>
            <w:tab/>
          </w:r>
          <w:r>
            <w:fldChar w:fldCharType="begin"/>
          </w:r>
          <w:r>
            <w:instrText xml:space="preserve"> PAGEREF _Toc6126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_Toc14825 </w:instrText>
          </w:r>
          <w:r>
            <w:fldChar w:fldCharType="separate"/>
          </w:r>
          <w:r>
            <w:rPr>
              <w:rFonts w:hint="default"/>
            </w:rPr>
            <w:t xml:space="preserve">3.2.2. </w:t>
          </w:r>
          <w: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_Toc14825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_Toc28674 </w:instrText>
          </w:r>
          <w:r>
            <w:fldChar w:fldCharType="separate"/>
          </w:r>
          <w:r>
            <w:rPr>
              <w:rFonts w:hint="default"/>
            </w:rPr>
            <w:t xml:space="preserve">3.2.3.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_Toc28674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_Toc5258 </w:instrText>
          </w:r>
          <w:r>
            <w:fldChar w:fldCharType="separate"/>
          </w:r>
          <w:r>
            <w:rPr>
              <w:rFonts w:hint="default"/>
            </w:rPr>
            <w:t xml:space="preserve">3.2.4.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_Toc5258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_Toc16811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备件库应用情况</w:t>
          </w:r>
          <w:r>
            <w:tab/>
          </w:r>
          <w:r>
            <w:fldChar w:fldCharType="begin"/>
          </w:r>
          <w:r>
            <w:instrText xml:space="preserve"> PAGEREF _Toc16811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_Toc23691 </w:instrText>
          </w:r>
          <w:r>
            <w:fldChar w:fldCharType="separate"/>
          </w:r>
          <w:r>
            <w:rPr>
              <w:rFonts w:hint="default"/>
            </w:rPr>
            <w:t xml:space="preserve">3.3.1. </w:t>
          </w:r>
          <w:r>
            <w:t>备品备件管理体系概述</w:t>
          </w:r>
          <w:r>
            <w:tab/>
          </w:r>
          <w:r>
            <w:fldChar w:fldCharType="begin"/>
          </w:r>
          <w:r>
            <w:instrText xml:space="preserve"> PAGEREF _Toc23691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_Toc3541 </w:instrText>
          </w:r>
          <w:r>
            <w:fldChar w:fldCharType="separate"/>
          </w:r>
          <w:r>
            <w:rPr>
              <w:rFonts w:hint="default"/>
            </w:rPr>
            <w:t xml:space="preserve">3.3.2. </w:t>
          </w:r>
          <w: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_Toc3541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_Toc31276 </w:instrText>
          </w:r>
          <w:r>
            <w:fldChar w:fldCharType="separate"/>
          </w:r>
          <w:r>
            <w:rPr>
              <w:rFonts w:hint="default"/>
            </w:rPr>
            <w:t xml:space="preserve">3.3.3.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_Toc31276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_Toc25268 </w:instrText>
          </w:r>
          <w:r>
            <w:fldChar w:fldCharType="separate"/>
          </w:r>
          <w:r>
            <w:rPr>
              <w:rFonts w:hint="default"/>
            </w:rPr>
            <w:t xml:space="preserve">3.3.4.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_Toc25268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_Toc21984 </w:instrText>
          </w:r>
          <w:r>
            <w:fldChar w:fldCharType="separate"/>
          </w:r>
          <w:r>
            <w:rPr>
              <w:rFonts w:hint="default"/>
            </w:rPr>
            <w:t xml:space="preserve">3.4. </w:t>
          </w:r>
          <w:r>
            <w:t>服务知识应用情况</w:t>
          </w:r>
          <w:r>
            <w:tab/>
          </w:r>
          <w:r>
            <w:fldChar w:fldCharType="begin"/>
          </w:r>
          <w:r>
            <w:instrText xml:space="preserve"> PAGEREF _Toc21984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_Toc5568 </w:instrText>
          </w:r>
          <w:r>
            <w:fldChar w:fldCharType="separate"/>
          </w:r>
          <w:r>
            <w:rPr>
              <w:rFonts w:hint="default"/>
            </w:rPr>
            <w:t xml:space="preserve">3.4.1. </w:t>
          </w:r>
          <w:r>
            <w:t>服务知识管理体系概述</w:t>
          </w:r>
          <w:r>
            <w:tab/>
          </w:r>
          <w:r>
            <w:fldChar w:fldCharType="begin"/>
          </w:r>
          <w:r>
            <w:instrText xml:space="preserve"> PAGEREF _Toc5568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_Toc27365 </w:instrText>
          </w:r>
          <w:r>
            <w:fldChar w:fldCharType="separate"/>
          </w:r>
          <w:r>
            <w:rPr>
              <w:rFonts w:hint="default"/>
            </w:rPr>
            <w:t xml:space="preserve">3.4.2. </w:t>
          </w:r>
          <w: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_Toc27365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_Toc19032 </w:instrText>
          </w:r>
          <w:r>
            <w:fldChar w:fldCharType="separate"/>
          </w:r>
          <w:r>
            <w:rPr>
              <w:rFonts w:hint="default"/>
            </w:rPr>
            <w:t xml:space="preserve">3.4.3.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_Toc19032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_Toc30672 </w:instrText>
          </w:r>
          <w:r>
            <w:fldChar w:fldCharType="separate"/>
          </w:r>
          <w:r>
            <w:rPr>
              <w:rFonts w:hint="default"/>
            </w:rPr>
            <w:t xml:space="preserve">3.4.4.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_Toc30672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_Toc4768 </w:instrText>
          </w:r>
          <w:r>
            <w:fldChar w:fldCharType="separate"/>
          </w:r>
          <w:r>
            <w:rPr>
              <w:rFonts w:hint="default"/>
            </w:rPr>
            <w:t xml:space="preserve">3.5. </w:t>
          </w:r>
          <w:r>
            <w:t>最终软件库应用情况</w:t>
          </w:r>
          <w:r>
            <w:tab/>
          </w:r>
          <w:r>
            <w:fldChar w:fldCharType="begin"/>
          </w:r>
          <w:r>
            <w:instrText xml:space="preserve"> PAGEREF _Toc4768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_Toc1137 </w:instrText>
          </w:r>
          <w:r>
            <w:fldChar w:fldCharType="separate"/>
          </w:r>
          <w:r>
            <w:rPr>
              <w:rFonts w:hint="default"/>
            </w:rPr>
            <w:t xml:space="preserve">3.5.1. </w:t>
          </w:r>
          <w:r>
            <w:t>软件库管理体系概述</w:t>
          </w:r>
          <w:r>
            <w:tab/>
          </w:r>
          <w:r>
            <w:fldChar w:fldCharType="begin"/>
          </w:r>
          <w:r>
            <w:instrText xml:space="preserve"> PAGEREF _Toc1137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_Toc9323 </w:instrText>
          </w:r>
          <w:r>
            <w:fldChar w:fldCharType="separate"/>
          </w:r>
          <w:r>
            <w:rPr>
              <w:rFonts w:hint="default"/>
            </w:rPr>
            <w:t xml:space="preserve">3.5.2. </w:t>
          </w:r>
          <w: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_Toc9323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_Toc28586 </w:instrText>
          </w:r>
          <w:r>
            <w:fldChar w:fldCharType="separate"/>
          </w:r>
          <w:r>
            <w:rPr>
              <w:rFonts w:hint="default"/>
            </w:rPr>
            <w:t xml:space="preserve">3.5.3.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_Toc28586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_Toc10778 </w:instrText>
          </w:r>
          <w:r>
            <w:fldChar w:fldCharType="separate"/>
          </w:r>
          <w:r>
            <w:rPr>
              <w:rFonts w:hint="default"/>
            </w:rPr>
            <w:t xml:space="preserve">3.5.4.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_Toc10778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_Toc3378 </w:instrText>
          </w:r>
          <w:r>
            <w:fldChar w:fldCharType="separate"/>
          </w:r>
          <w:r>
            <w:rPr>
              <w:rFonts w:hint="default"/>
            </w:rPr>
            <w:t xml:space="preserve">3.6. </w:t>
          </w:r>
          <w:r>
            <w:t>服务数据应用情况</w:t>
          </w:r>
          <w:r>
            <w:tab/>
          </w:r>
          <w:r>
            <w:fldChar w:fldCharType="begin"/>
          </w:r>
          <w:r>
            <w:instrText xml:space="preserve"> PAGEREF _Toc3378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_Toc14304 </w:instrText>
          </w:r>
          <w:r>
            <w:fldChar w:fldCharType="separate"/>
          </w:r>
          <w:r>
            <w:rPr>
              <w:rFonts w:hint="default"/>
            </w:rPr>
            <w:t xml:space="preserve">3.6.1. </w:t>
          </w:r>
          <w:r>
            <w:t>服务数据管理体系概述</w:t>
          </w:r>
          <w:r>
            <w:tab/>
          </w:r>
          <w:r>
            <w:fldChar w:fldCharType="begin"/>
          </w:r>
          <w:r>
            <w:instrText xml:space="preserve"> PAGEREF _Toc14304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_Toc23142 </w:instrText>
          </w:r>
          <w:r>
            <w:fldChar w:fldCharType="separate"/>
          </w:r>
          <w:r>
            <w:rPr>
              <w:rFonts w:hint="default"/>
            </w:rPr>
            <w:t xml:space="preserve">3.6.2. </w:t>
          </w:r>
          <w:r>
            <w:t>核心管理机制的应用与执行情况</w:t>
          </w:r>
          <w:r>
            <w:tab/>
          </w:r>
          <w:r>
            <w:fldChar w:fldCharType="begin"/>
          </w:r>
          <w:r>
            <w:instrText xml:space="preserve"> PAGEREF _Toc23142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_Toc28626 </w:instrText>
          </w:r>
          <w:r>
            <w:fldChar w:fldCharType="separate"/>
          </w:r>
          <w:r>
            <w:rPr>
              <w:rFonts w:hint="default"/>
            </w:rPr>
            <w:t xml:space="preserve">3.6.3.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_Toc28626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_Toc19082 </w:instrText>
          </w:r>
          <w:r>
            <w:fldChar w:fldCharType="separate"/>
          </w:r>
          <w:r>
            <w:rPr>
              <w:rFonts w:hint="default"/>
            </w:rPr>
            <w:t xml:space="preserve">3.6.4.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_Toc19082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技术管理报告</w:t>
          </w:r>
          <w:r>
            <w:tab/>
          </w:r>
          <w:r>
            <w:fldChar w:fldCharType="begin"/>
          </w:r>
          <w:r>
            <w:instrText xml:space="preserve"> PAGEREF _Toc29595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_Toc28205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研发概述</w:t>
          </w:r>
          <w:r>
            <w:tab/>
          </w:r>
          <w:r>
            <w:fldChar w:fldCharType="begin"/>
          </w:r>
          <w:r>
            <w:instrText xml:space="preserve"> PAGEREF _Toc28205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_Toc30941 </w:instrText>
          </w:r>
          <w:r>
            <w:fldChar w:fldCharType="separate"/>
          </w:r>
          <w:r>
            <w:rPr>
              <w:rFonts w:hint="default"/>
            </w:rPr>
            <w:t xml:space="preserve">4.1.1. </w:t>
          </w:r>
          <w:r>
            <w:t>研发背景</w:t>
          </w:r>
          <w:r>
            <w:tab/>
          </w:r>
          <w:r>
            <w:fldChar w:fldCharType="begin"/>
          </w:r>
          <w:r>
            <w:instrText xml:space="preserve"> PAGEREF _Toc30941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_Toc5769 </w:instrText>
          </w:r>
          <w:r>
            <w:fldChar w:fldCharType="separate"/>
          </w:r>
          <w:r>
            <w:rPr>
              <w:rFonts w:hint="default"/>
            </w:rPr>
            <w:t xml:space="preserve">4.1.2. </w:t>
          </w:r>
          <w:r>
            <w:t>1-4月研发目标</w:t>
          </w:r>
          <w:r>
            <w:tab/>
          </w:r>
          <w:r>
            <w:fldChar w:fldCharType="begin"/>
          </w:r>
          <w:r>
            <w:instrText xml:space="preserve"> PAGEREF _Toc5769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_Toc15744 </w:instrText>
          </w:r>
          <w:r>
            <w:fldChar w:fldCharType="separate"/>
          </w:r>
          <w:r>
            <w:rPr>
              <w:rFonts w:hint="default"/>
            </w:rPr>
            <w:t xml:space="preserve">4.1.3. </w:t>
          </w:r>
          <w:r>
            <w:t>整体完成情况</w:t>
          </w:r>
          <w:r>
            <w:tab/>
          </w:r>
          <w:r>
            <w:fldChar w:fldCharType="begin"/>
          </w:r>
          <w:r>
            <w:instrText xml:space="preserve"> PAGEREF _Toc15744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_Toc23835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工具研发完成情况</w:t>
          </w:r>
          <w:r>
            <w:tab/>
          </w:r>
          <w:r>
            <w:fldChar w:fldCharType="begin"/>
          </w:r>
          <w:r>
            <w:instrText xml:space="preserve"> PAGEREF _Toc23835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_Toc17272 </w:instrText>
          </w:r>
          <w:r>
            <w:fldChar w:fldCharType="separate"/>
          </w:r>
          <w:r>
            <w:rPr>
              <w:rFonts w:hint="default"/>
            </w:rPr>
            <w:t xml:space="preserve">4.2.1. </w:t>
          </w:r>
          <w:r>
            <w:t>实施规划完成情况</w:t>
          </w:r>
          <w:r>
            <w:tab/>
          </w:r>
          <w:r>
            <w:fldChar w:fldCharType="begin"/>
          </w:r>
          <w:r>
            <w:instrText xml:space="preserve"> PAGEREF _Toc17272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_Toc30920 </w:instrText>
          </w:r>
          <w:r>
            <w:fldChar w:fldCharType="separate"/>
          </w:r>
          <w:r>
            <w:rPr>
              <w:rFonts w:hint="default"/>
            </w:rPr>
            <w:t xml:space="preserve">4.2.2. </w:t>
          </w:r>
          <w:r>
            <w:t>具体功能研发完成情况</w:t>
          </w:r>
          <w:r>
            <w:tab/>
          </w:r>
          <w:r>
            <w:fldChar w:fldCharType="begin"/>
          </w:r>
          <w:r>
            <w:instrText xml:space="preserve"> PAGEREF _Toc30920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_Toc14288 </w:instrText>
          </w:r>
          <w:r>
            <w:fldChar w:fldCharType="separate"/>
          </w:r>
          <w:r>
            <w:rPr>
              <w:rFonts w:hint="default"/>
            </w:rPr>
            <w:t xml:space="preserve">4.2.3. </w:t>
          </w:r>
          <w:r>
            <w:t>研发工具应用情况</w:t>
          </w:r>
          <w:r>
            <w:tab/>
          </w:r>
          <w:r>
            <w:fldChar w:fldCharType="begin"/>
          </w:r>
          <w:r>
            <w:instrText xml:space="preserve"> PAGEREF _Toc14288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_Toc21827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手册研发完成情况</w:t>
          </w:r>
          <w:r>
            <w:tab/>
          </w:r>
          <w:r>
            <w:fldChar w:fldCharType="begin"/>
          </w:r>
          <w:r>
            <w:instrText xml:space="preserve"> PAGEREF _Toc21827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_Toc18170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新技术研发完成情况</w:t>
          </w:r>
          <w:r>
            <w:tab/>
          </w:r>
          <w:r>
            <w:fldChar w:fldCharType="begin"/>
          </w:r>
          <w:r>
            <w:instrText xml:space="preserve"> PAGEREF _Toc18170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_Toc18068 </w:instrText>
          </w:r>
          <w:r>
            <w:fldChar w:fldCharType="separate"/>
          </w:r>
          <w:r>
            <w:rPr>
              <w:rFonts w:hint="default"/>
            </w:rPr>
            <w:t xml:space="preserve">4.5. </w:t>
          </w:r>
          <w:r>
            <w:t>资源使用情况</w:t>
          </w:r>
          <w:r>
            <w:tab/>
          </w:r>
          <w:r>
            <w:fldChar w:fldCharType="begin"/>
          </w:r>
          <w:r>
            <w:instrText xml:space="preserve"> PAGEREF _Toc18068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_Toc28853 </w:instrText>
          </w:r>
          <w:r>
            <w:fldChar w:fldCharType="separate"/>
          </w:r>
          <w:r>
            <w:rPr>
              <w:rFonts w:hint="default"/>
            </w:rPr>
            <w:t xml:space="preserve">4.5.1. </w:t>
          </w:r>
          <w:r>
            <w:t>人员投入</w:t>
          </w:r>
          <w:r>
            <w:tab/>
          </w:r>
          <w:r>
            <w:fldChar w:fldCharType="begin"/>
          </w:r>
          <w:r>
            <w:instrText xml:space="preserve"> PAGEREF _Toc28853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_Toc16883 </w:instrText>
          </w:r>
          <w:r>
            <w:fldChar w:fldCharType="separate"/>
          </w:r>
          <w:r>
            <w:rPr>
              <w:rFonts w:hint="default"/>
            </w:rPr>
            <w:t xml:space="preserve">4.5.2. </w:t>
          </w:r>
          <w:r>
            <w:t>资金投入</w:t>
          </w:r>
          <w:r>
            <w:tab/>
          </w:r>
          <w:r>
            <w:fldChar w:fldCharType="begin"/>
          </w:r>
          <w:r>
            <w:instrText xml:space="preserve"> PAGEREF _Toc16883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_Toc16391 </w:instrText>
          </w:r>
          <w:r>
            <w:fldChar w:fldCharType="separate"/>
          </w:r>
          <w:r>
            <w:rPr>
              <w:rFonts w:hint="default"/>
            </w:rPr>
            <w:t xml:space="preserve">4.5.3. </w:t>
          </w:r>
          <w:r>
            <w:t>场地与设备</w:t>
          </w:r>
          <w:r>
            <w:tab/>
          </w:r>
          <w:r>
            <w:fldChar w:fldCharType="begin"/>
          </w:r>
          <w:r>
            <w:instrText xml:space="preserve"> PAGEREF _Toc16391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_Toc3663 </w:instrText>
          </w:r>
          <w:r>
            <w:fldChar w:fldCharType="separate"/>
          </w:r>
          <w:r>
            <w:rPr>
              <w:rFonts w:hint="default"/>
            </w:rPr>
            <w:t xml:space="preserve">4.6. </w:t>
          </w:r>
          <w:r>
            <w:t>下阶段工作计划（5-8月）</w:t>
          </w:r>
          <w:r>
            <w:tab/>
          </w:r>
          <w:r>
            <w:fldChar w:fldCharType="begin"/>
          </w:r>
          <w:r>
            <w:instrText xml:space="preserve"> PAGEREF _Toc3663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过程管理报告</w:t>
          </w:r>
          <w:r>
            <w:tab/>
          </w:r>
          <w:r>
            <w:fldChar w:fldCharType="begin"/>
          </w:r>
          <w:r>
            <w:instrText xml:space="preserve"> PAGEREF _Toc12315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_Toc12858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过程框架管理</w:t>
          </w:r>
          <w:r>
            <w:tab/>
          </w:r>
          <w:r>
            <w:fldChar w:fldCharType="begin"/>
          </w:r>
          <w:r>
            <w:instrText xml:space="preserve"> PAGEREF _Toc12858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_Toc3335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服务级别管理</w:t>
          </w:r>
          <w:r>
            <w:tab/>
          </w:r>
          <w:r>
            <w:fldChar w:fldCharType="begin"/>
          </w:r>
          <w:r>
            <w:instrText xml:space="preserve"> PAGEREF _Toc3335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_Toc21012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服务报告管理</w:t>
          </w:r>
          <w:r>
            <w:tab/>
          </w:r>
          <w:r>
            <w:fldChar w:fldCharType="begin"/>
          </w:r>
          <w:r>
            <w:instrText xml:space="preserve"> PAGEREF _Toc21012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_Toc22466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事件管理</w:t>
          </w:r>
          <w:r>
            <w:tab/>
          </w:r>
          <w:r>
            <w:fldChar w:fldCharType="begin"/>
          </w:r>
          <w:r>
            <w:instrText xml:space="preserve"> PAGEREF _Toc22466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_Toc2216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问题管理</w:t>
          </w:r>
          <w:r>
            <w:tab/>
          </w:r>
          <w:r>
            <w:fldChar w:fldCharType="begin"/>
          </w:r>
          <w:r>
            <w:instrText xml:space="preserve"> PAGEREF _Toc2216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_Toc11990 </w:instrText>
          </w:r>
          <w:r>
            <w:fldChar w:fldCharType="separate"/>
          </w:r>
          <w:r>
            <w:rPr>
              <w:rFonts w:hint="default"/>
            </w:rPr>
            <w:t xml:space="preserve">5.6. </w:t>
          </w:r>
          <w:r>
            <w:t>变更管理</w:t>
          </w:r>
          <w:r>
            <w:tab/>
          </w:r>
          <w:r>
            <w:fldChar w:fldCharType="begin"/>
          </w:r>
          <w:r>
            <w:instrText xml:space="preserve"> PAGEREF _Toc11990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_Toc21914 </w:instrText>
          </w:r>
          <w:r>
            <w:fldChar w:fldCharType="separate"/>
          </w:r>
          <w:r>
            <w:rPr>
              <w:rFonts w:hint="default"/>
            </w:rPr>
            <w:t xml:space="preserve">5.7. </w:t>
          </w:r>
          <w:r>
            <w:t>发布管理</w:t>
          </w:r>
          <w:r>
            <w:tab/>
          </w:r>
          <w:r>
            <w:fldChar w:fldCharType="begin"/>
          </w:r>
          <w:r>
            <w:instrText xml:space="preserve"> PAGEREF _Toc21914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_Toc2449 </w:instrText>
          </w:r>
          <w:r>
            <w:fldChar w:fldCharType="separate"/>
          </w:r>
          <w:r>
            <w:rPr>
              <w:rFonts w:hint="default"/>
            </w:rPr>
            <w:t xml:space="preserve">5.8. </w:t>
          </w:r>
          <w:r>
            <w:t>配置管理</w:t>
          </w:r>
          <w:r>
            <w:tab/>
          </w:r>
          <w:r>
            <w:fldChar w:fldCharType="begin"/>
          </w:r>
          <w:r>
            <w:instrText xml:space="preserve"> PAGEREF _Toc2449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_Toc22613 </w:instrText>
          </w:r>
          <w:r>
            <w:fldChar w:fldCharType="separate"/>
          </w:r>
          <w:r>
            <w:rPr>
              <w:rFonts w:hint="default"/>
            </w:rPr>
            <w:t xml:space="preserve">5.9. </w:t>
          </w:r>
          <w:r>
            <w:t>可用性和连续性管理</w:t>
          </w:r>
          <w:r>
            <w:tab/>
          </w:r>
          <w:r>
            <w:fldChar w:fldCharType="begin"/>
          </w:r>
          <w:r>
            <w:instrText xml:space="preserve"> PAGEREF _Toc22613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_Toc16829 </w:instrText>
          </w:r>
          <w:r>
            <w:fldChar w:fldCharType="separate"/>
          </w:r>
          <w:r>
            <w:rPr>
              <w:rFonts w:hint="default"/>
            </w:rPr>
            <w:t xml:space="preserve">5.10. </w:t>
          </w:r>
          <w:r>
            <w:t>容量管理</w:t>
          </w:r>
          <w:r>
            <w:tab/>
          </w:r>
          <w:r>
            <w:fldChar w:fldCharType="begin"/>
          </w:r>
          <w:r>
            <w:instrText xml:space="preserve"> PAGEREF _Toc16829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_Toc859 </w:instrText>
          </w:r>
          <w:r>
            <w:fldChar w:fldCharType="separate"/>
          </w:r>
          <w:r>
            <w:rPr>
              <w:rFonts w:hint="default"/>
            </w:rPr>
            <w:t xml:space="preserve">5.11. </w:t>
          </w:r>
          <w:r>
            <w:t>信息安全管理</w:t>
          </w:r>
          <w:r>
            <w:tab/>
          </w:r>
          <w:r>
            <w:fldChar w:fldCharType="begin"/>
          </w:r>
          <w:r>
            <w:instrText xml:space="preserve"> PAGEREF _Toc859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交付管理报告</w:t>
          </w:r>
          <w:r>
            <w:tab/>
          </w:r>
          <w:r>
            <w:fldChar w:fldCharType="begin"/>
          </w:r>
          <w:r>
            <w:instrText xml:space="preserve"> PAGEREF _Toc2094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_Toc4900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交付管理体系概述</w:t>
          </w:r>
          <w:r>
            <w:tab/>
          </w:r>
          <w:r>
            <w:fldChar w:fldCharType="begin"/>
          </w:r>
          <w:r>
            <w:instrText xml:space="preserve"> PAGEREF _Toc4900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_Toc674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_Toc674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_Toc11509 </w:instrText>
          </w:r>
          <w:r>
            <w:fldChar w:fldCharType="separate"/>
          </w:r>
          <w:r>
            <w:rPr>
              <w:rFonts w:hint="default"/>
            </w:rPr>
            <w:t xml:space="preserve">6.3. </w:t>
          </w:r>
          <w:r>
            <w:t>交付管理工作执行情况</w:t>
          </w:r>
          <w:r>
            <w:tab/>
          </w:r>
          <w:r>
            <w:fldChar w:fldCharType="begin"/>
          </w:r>
          <w:r>
            <w:instrText xml:space="preserve"> PAGEREF _Toc11509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_Toc1483 </w:instrText>
          </w:r>
          <w:r>
            <w:fldChar w:fldCharType="separate"/>
          </w:r>
          <w:r>
            <w:rPr>
              <w:rFonts w:hint="default"/>
            </w:rPr>
            <w:t xml:space="preserve">6.4.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_Toc1483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应急管理报告</w:t>
          </w:r>
          <w:r>
            <w:tab/>
          </w:r>
          <w:r>
            <w:fldChar w:fldCharType="begin"/>
          </w:r>
          <w:r>
            <w:instrText xml:space="preserve"> PAGEREF _Toc27977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_Toc13435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应急管理体系概述</w:t>
          </w:r>
          <w:r>
            <w:tab/>
          </w:r>
          <w:r>
            <w:fldChar w:fldCharType="begin"/>
          </w:r>
          <w:r>
            <w:instrText xml:space="preserve"> PAGEREF _Toc13435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_Toc10960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关键绩效指标达成情况</w:t>
          </w:r>
          <w:r>
            <w:tab/>
          </w:r>
          <w:r>
            <w:fldChar w:fldCharType="begin"/>
          </w:r>
          <w:r>
            <w:instrText xml:space="preserve"> PAGEREF _Toc10960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_Toc6665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应急管理工作执行情况</w:t>
          </w:r>
          <w:r>
            <w:tab/>
          </w:r>
          <w:r>
            <w:fldChar w:fldCharType="begin"/>
          </w:r>
          <w:r>
            <w:instrText xml:space="preserve"> PAGEREF _Toc6665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_Toc31241 </w:instrText>
          </w:r>
          <w:r>
            <w:fldChar w:fldCharType="separate"/>
          </w:r>
          <w:r>
            <w:rPr>
              <w:rFonts w:hint="default"/>
            </w:rPr>
            <w:t xml:space="preserve">7.4. </w:t>
          </w:r>
          <w:r>
            <w:t>应用成效总结</w:t>
          </w:r>
          <w:r>
            <w:tab/>
          </w:r>
          <w:r>
            <w:fldChar w:fldCharType="begin"/>
          </w:r>
          <w:r>
            <w:instrText xml:space="preserve"> PAGEREF _Toc31241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质量管理报告</w:t>
          </w:r>
          <w:r>
            <w:tab/>
          </w:r>
          <w:r>
            <w:fldChar w:fldCharType="begin"/>
          </w:r>
          <w:r>
            <w:instrText xml:space="preserve"> PAGEREF _Toc7937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_Toc12645 </w:instrText>
          </w:r>
          <w:r>
            <w:fldChar w:fldCharType="separate"/>
          </w:r>
          <w:r>
            <w:rPr>
              <w:rFonts w:hint="default"/>
            </w:rPr>
            <w:t xml:space="preserve">8.1.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_Toc12645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_Toc17857 </w:instrText>
          </w:r>
          <w:r>
            <w:fldChar w:fldCharType="separate"/>
          </w:r>
          <w:r>
            <w:rPr>
              <w:rFonts w:hint="default"/>
            </w:rPr>
            <w:t xml:space="preserve">8.2. </w:t>
          </w:r>
          <w:r>
            <w:t>质量管理概况</w:t>
          </w:r>
          <w:r>
            <w:tab/>
          </w:r>
          <w:r>
            <w:fldChar w:fldCharType="begin"/>
          </w:r>
          <w:r>
            <w:instrText xml:space="preserve"> PAGEREF _Toc17857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_Toc30658 </w:instrText>
          </w:r>
          <w:r>
            <w:fldChar w:fldCharType="separate"/>
          </w:r>
          <w:r>
            <w:rPr>
              <w:rFonts w:hint="default"/>
            </w:rPr>
            <w:t xml:space="preserve">8.3. </w:t>
          </w:r>
          <w:r>
            <w:t>质量管理目标完成情况</w:t>
          </w:r>
          <w:r>
            <w:tab/>
          </w:r>
          <w:r>
            <w:fldChar w:fldCharType="begin"/>
          </w:r>
          <w:r>
            <w:instrText xml:space="preserve"> PAGEREF _Toc30658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_Toc24430 </w:instrText>
          </w:r>
          <w:r>
            <w:fldChar w:fldCharType="separate"/>
          </w:r>
          <w:r>
            <w:rPr>
              <w:rFonts w:hint="default"/>
            </w:rPr>
            <w:t xml:space="preserve">8.4. </w:t>
          </w:r>
          <w:r>
            <w:t>质量管理保证工作总结</w:t>
          </w:r>
          <w:r>
            <w:tab/>
          </w:r>
          <w:r>
            <w:fldChar w:fldCharType="begin"/>
          </w:r>
          <w:r>
            <w:instrText xml:space="preserve"> PAGEREF _Toc24430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_Toc3727 </w:instrText>
          </w:r>
          <w:r>
            <w:fldChar w:fldCharType="separate"/>
          </w:r>
          <w:r>
            <w:rPr>
              <w:rFonts w:hint="default"/>
            </w:rPr>
            <w:t xml:space="preserve">8.4.1. </w:t>
          </w:r>
          <w:r>
            <w:t>运维服务质量检查</w:t>
          </w:r>
          <w:r>
            <w:tab/>
          </w:r>
          <w:r>
            <w:fldChar w:fldCharType="begin"/>
          </w:r>
          <w:r>
            <w:instrText xml:space="preserve"> PAGEREF _Toc3727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_Toc28970 </w:instrText>
          </w:r>
          <w:r>
            <w:fldChar w:fldCharType="separate"/>
          </w:r>
          <w:r>
            <w:rPr>
              <w:rFonts w:hint="default"/>
            </w:rPr>
            <w:t xml:space="preserve">8.4.2. </w:t>
          </w:r>
          <w:r>
            <w:t>客户满意度调查</w:t>
          </w:r>
          <w:r>
            <w:tab/>
          </w:r>
          <w:r>
            <w:fldChar w:fldCharType="begin"/>
          </w:r>
          <w:r>
            <w:instrText xml:space="preserve"> PAGEREF _Toc28970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8.4.3. </w:t>
          </w:r>
          <w:r>
            <w:rPr>
              <w:rFonts w:hint="eastAsia"/>
              <w:lang w:val="en-US" w:eastAsia="zh-CN"/>
            </w:rPr>
            <w:t>内审和管评</w:t>
          </w:r>
          <w:r>
            <w:tab/>
          </w:r>
          <w:r>
            <w:fldChar w:fldCharType="begin"/>
          </w:r>
          <w:r>
            <w:instrText xml:space="preserve"> PAGEREF _Toc21007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_Toc19251 </w:instrText>
          </w:r>
          <w:r>
            <w:fldChar w:fldCharType="separate"/>
          </w:r>
          <w:r>
            <w:rPr>
              <w:rFonts w:hint="default"/>
            </w:rPr>
            <w:t xml:space="preserve">8.4.4. </w:t>
          </w:r>
          <w:r>
            <w:t>质量培训</w:t>
          </w:r>
          <w:r>
            <w:tab/>
          </w:r>
          <w:r>
            <w:fldChar w:fldCharType="begin"/>
          </w:r>
          <w:r>
            <w:instrText xml:space="preserve"> PAGEREF _Toc19251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_Toc10880 </w:instrText>
          </w:r>
          <w:r>
            <w:fldChar w:fldCharType="separate"/>
          </w:r>
          <w:r>
            <w:rPr>
              <w:rFonts w:hint="default"/>
            </w:rPr>
            <w:t xml:space="preserve">8.5. </w:t>
          </w:r>
          <w:r>
            <w:t>客户投诉情况</w:t>
          </w:r>
          <w:r>
            <w:tab/>
          </w:r>
          <w:r>
            <w:fldChar w:fldCharType="begin"/>
          </w:r>
          <w:r>
            <w:instrText xml:space="preserve"> PAGEREF _Toc10880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bookmarkStart w:id="1" w:name="_GoBack"/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14104"/>
      <w:r>
        <w:t>报告概况</w:t>
      </w:r>
      <w:bookmarkEnd w:id="2"/>
      <w:bookmarkStart w:id="3" w:name="heading_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9133"/>
      <w:r>
        <w:t>报告基本信息</w:t>
      </w:r>
      <w:r>
        <w:br/>
      </w:r>
      <w:bookmarkEnd w:id="3"/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本报告为华风数据(深圳)有限公司2026年1-4月运维服务能力管理阶段性报告，报告周期为2026年1月至2026年4月30日。本报告为阶段性能力管理报告，由运维部编制，报告责任人为运维部经理。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4"/>
      <w:bookmarkStart w:id="6" w:name="_Toc17138"/>
      <w:r>
        <w:t>报告目的</w:t>
      </w:r>
      <w:r>
        <w:br/>
      </w:r>
      <w:bookmarkEnd w:id="5"/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旨在总结公司2026年1-4月运维服务能力管理工作的执行情况，评估人员、资源、技术、过程、交付、应急、质量七大能力域的目标达成情况，分析现存短板问题，核验2025年度遗留问题整改成效，为下阶段能力优化、指标达标、体系完善提供落地依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14600"/>
      <w:r>
        <w:t>2026年改进措施落实情况</w:t>
      </w:r>
      <w:r>
        <w:br/>
      </w:r>
      <w:bookmarkEnd w:id="7"/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基于2025年度能力管理报告识别的短板问题，2026年度能力管理计划针对性制定整改优化措施，1-4月全周期落地核验情况如下：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633"/>
        <w:gridCol w:w="2910"/>
        <w:gridCol w:w="297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2025年问题</w:t>
            </w:r>
          </w:p>
        </w:tc>
        <w:tc>
          <w:tcPr>
            <w:tcW w:w="291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2026年改进措施</w:t>
            </w:r>
          </w:p>
        </w:tc>
        <w:tc>
          <w:tcPr>
            <w:tcW w:w="297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1-4月落实情况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运维项目经理招聘渠道单一</w:t>
            </w: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新增猎头渠道，建立专项人才库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已完成渠道拓展，Q1招聘达成率100%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储备人员实战经验不足</w:t>
            </w: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顶岗实习、导师带教、实战演练三维培养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已建立常态化培养机制，按季度计划稳步推进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关键岗位备份计划完成时间晚（10月）</w:t>
            </w: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备份节点提前至上半年3-6月闭环完成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运维部、研发部核心岗位3-4月已完成轮岗备份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前端业务设备老化，故障频次偏高</w:t>
            </w: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增补前端备件储备、SLA新增设备健康度常态化监控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已纳入年度备件增补计划，SLA条款已同步修订落地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业务数据完整性偶有不达标</w:t>
            </w: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自研数据完整性自动校验工具，实现线上稽核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按年度时序，锁定5-6月专项开发落地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全域运维人工依赖度高，自动化水平不足</w:t>
            </w: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全域品类自动化巡检工具自研落地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1-4月已完成全功能开发、单元及联调测试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高等级运维人员占比仅75%，人才梯队偏弱</w:t>
            </w:r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年度目标提升高等级人员占比至80%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待6月半年度统一技能评定后核算评估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4682"/>
      <w:r>
        <w:rPr>
          <w:rFonts w:hint="eastAsia"/>
          <w:lang w:val="en-US" w:eastAsia="zh-CN"/>
        </w:rPr>
        <w:t>人员管理报告</w:t>
      </w:r>
      <w:bookmarkEnd w:id="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31314"/>
      <w:bookmarkStart w:id="11" w:name="_Toc28264"/>
      <w:r>
        <w:t>人员招聘计划执行情况</w:t>
      </w:r>
      <w:bookmarkEnd w:id="10"/>
      <w:bookmarkEnd w:id="1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19989"/>
      <w:bookmarkStart w:id="13" w:name="_Toc4879"/>
      <w:r>
        <w:t>招聘完成情况</w:t>
      </w:r>
      <w:bookmarkEnd w:id="12"/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2026年度计划招聘5人，Q1实际到岗情况完全匹配季度计划，人员招聘计划Q1达成率100%，剩余岗位按季度节点有序推进招聘工作。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2-1 2026年度人员招聘计划完成情况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85"/>
        <w:gridCol w:w="1623"/>
        <w:gridCol w:w="1623"/>
        <w:gridCol w:w="981"/>
        <w:gridCol w:w="981"/>
        <w:gridCol w:w="901"/>
        <w:gridCol w:w="172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6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计划招聘人数</w:t>
            </w:r>
          </w:p>
        </w:tc>
        <w:tc>
          <w:tcPr>
            <w:tcW w:w="9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Q1计划</w:t>
            </w:r>
          </w:p>
        </w:tc>
        <w:tc>
          <w:tcPr>
            <w:tcW w:w="9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90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达成率</w:t>
            </w:r>
          </w:p>
        </w:tc>
        <w:tc>
          <w:tcPr>
            <w:tcW w:w="172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Q3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按计划下半年执行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硬件运维工程师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Q1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软件运维工程师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Q2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按计划Q2执行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技术支持工程师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Q4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按计划Q4执行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产品质量部专员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Q3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按计划下半年执行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Q1:1人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100%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22923"/>
      <w:bookmarkStart w:id="15" w:name="_Toc26626"/>
      <w:r>
        <w:t>招聘工作成效</w:t>
      </w:r>
      <w:bookmarkEnd w:id="14"/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Q1招聘计划完成率100%，硬件运维工程师岗位按期面试、入职、定岗，适配项目运维排班需求；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优化招聘矩阵，招聘渠道涵盖常规招聘网站、2026年新增猎头渠道、内部人才举荐、内部储备调任四大渠道，重点扩充运维项目经理高端候选人储备量；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截止2026年4月</w:t>
      </w:r>
      <w:r>
        <w:t>入职新员工全部完成标准化入职培训、师徒带教及全周期试用期考核，新员工试用期通过率100%，人员适配度达标。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6"/>
      <w:bookmarkStart w:id="17" w:name="_Toc7580"/>
      <w:bookmarkStart w:id="18" w:name="_Toc5795"/>
      <w:r>
        <w:t>存在问题与改进措施</w:t>
      </w:r>
      <w:bookmarkEnd w:id="16"/>
      <w:bookmarkEnd w:id="17"/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针对2025年运维项目经理高端人才渠道单一、面试匹配率偏低问题，2026年专项新增猎头合作渠道，搭建运维项目经理专属人才库，分类归档行业资深候选人。后续将常态化开展行业人才对接，定期更新人才台账，建立长效高端人才引进机制，缩短核心管理岗招聘周期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7"/>
      <w:bookmarkStart w:id="20" w:name="_Toc28160"/>
      <w:bookmarkStart w:id="21" w:name="_Toc24517"/>
      <w:r>
        <w:t>人员储备计划执行情况</w:t>
      </w:r>
      <w:bookmarkEnd w:id="19"/>
      <w:bookmarkEnd w:id="20"/>
      <w:bookmarkEnd w:id="2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8"/>
      <w:bookmarkStart w:id="23" w:name="_Toc30528"/>
      <w:bookmarkStart w:id="24" w:name="_Toc11516"/>
      <w:r>
        <w:t>储备完成情况</w:t>
      </w:r>
      <w:bookmarkEnd w:id="22"/>
      <w:bookmarkEnd w:id="23"/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2026年度计划内部储备2名岗位后备人员，Q1</w:t>
      </w:r>
      <w:r>
        <w:rPr>
          <w:rFonts w:hint="eastAsia"/>
          <w:lang w:val="en-US" w:eastAsia="zh-CN"/>
        </w:rPr>
        <w:t>没有储备任务，计划与2026年6月完成软件运维工程师的储备，2026年12月完成技术支持工程师的储备</w:t>
      </w:r>
      <w:r>
        <w:t>，储备培养工作按季度节点稳步落地。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3-1 2026年度人员储备计划完成情况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52"/>
        <w:gridCol w:w="1614"/>
        <w:gridCol w:w="1247"/>
        <w:gridCol w:w="1133"/>
        <w:gridCol w:w="1614"/>
        <w:gridCol w:w="1371"/>
        <w:gridCol w:w="89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储备岗位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储备方式</w:t>
            </w:r>
          </w:p>
        </w:tc>
        <w:tc>
          <w:tcPr>
            <w:tcW w:w="16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储备目标人数</w:t>
            </w:r>
          </w:p>
        </w:tc>
        <w:tc>
          <w:tcPr>
            <w:tcW w:w="13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完成时间</w:t>
            </w:r>
          </w:p>
        </w:tc>
        <w:tc>
          <w:tcPr>
            <w:tcW w:w="89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软件运维工程师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内部培养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进行中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2026年12月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技术支持工程师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内部培养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进行中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9"/>
      <w:bookmarkStart w:id="26" w:name="_Toc15271"/>
      <w:bookmarkStart w:id="27" w:name="_Toc5231"/>
      <w:r>
        <w:t>储备培养情况</w:t>
      </w:r>
      <w:bookmarkEnd w:id="25"/>
      <w:bookmarkEnd w:id="26"/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针对2025年储备人员理论能力达标、现场实战经验薄弱问题，2026年升级四维培养机制，全方位补齐实操短板：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顶岗实习：每季度固定安排储备人员顶岗实操2天，由岗位A角全程督导，独立承接基础运维工单，顶岗全过程录入《储备人员顶岗实习记录表》存档；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一对一导师带教：匹配在岗资深员工专属带教，制定月度学习清单、实操考核节点，定向补齐岗位业务短板；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全域实战演练：组织储备人员全员参与项目应急排障、机房巡检、故障复盘演练，积累重大场景处置经验；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储备人员阶段性能力核验按期开展，整体培养进度符合年度计划要求。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_Toc8105"/>
      <w:bookmarkStart w:id="29" w:name="heading_10"/>
      <w:bookmarkStart w:id="30" w:name="_Toc22016"/>
      <w:r>
        <w:t>存在问题与改进措施</w:t>
      </w:r>
      <w:bookmarkEnd w:id="28"/>
      <w:bookmarkEnd w:id="29"/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截止2026年4月，</w:t>
      </w:r>
      <w:r>
        <w:t>储备选拔、培养、考核全流程管控规范，培养举措落地有效，储备人员学习积极性良好，现阶段无重大管理及能力问题。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11"/>
      <w:bookmarkStart w:id="32" w:name="_Toc10992"/>
      <w:bookmarkStart w:id="33" w:name="_Toc14849"/>
      <w:r>
        <w:t>人员培训计划执行情况</w:t>
      </w:r>
      <w:bookmarkEnd w:id="31"/>
      <w:bookmarkEnd w:id="32"/>
      <w:bookmarkEnd w:id="3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_Toc16994"/>
      <w:bookmarkStart w:id="35" w:name="heading_12"/>
      <w:bookmarkStart w:id="36" w:name="_Toc8850"/>
      <w:r>
        <w:t>培训完成情况</w:t>
      </w:r>
      <w:bookmarkEnd w:id="34"/>
      <w:bookmarkEnd w:id="35"/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2026年度全年计划开展培训14项，Q1人员培训计划达成率100%；1-4月已按期完成</w:t>
      </w:r>
      <w:r>
        <w:rPr>
          <w:rFonts w:hint="eastAsia"/>
          <w:lang w:val="en-US" w:eastAsia="zh-CN"/>
        </w:rPr>
        <w:t>5</w:t>
      </w:r>
      <w:r>
        <w:t>项专项培训，剩余培训按下半年节点有序推进。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4-1 2026年度人员培训计划完成情况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42"/>
        <w:gridCol w:w="742"/>
        <w:gridCol w:w="2734"/>
        <w:gridCol w:w="1572"/>
        <w:gridCol w:w="1738"/>
        <w:gridCol w:w="99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4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74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7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15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新员工入职培训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入职一周内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按需执行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ITSS运维体系培训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2026年1月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质量管理培训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2026年2月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数据库监控工具培训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自动化运维培训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2026年4月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安全加固与漏洞管理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7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进阶故障处理培训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8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性能优化培训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2026年7月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9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服务台进阶培训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2026年8月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服务知识管理培训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2026年9月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11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信息安全风险培训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2026年10月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12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备件管理制度培训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2026年11月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13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数据管理与完整性培训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11</w:t>
            </w:r>
            <w:r>
              <w:t>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14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年度技能评定培训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2026年12月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_Toc29354"/>
      <w:bookmarkStart w:id="38" w:name="heading_13"/>
      <w:bookmarkStart w:id="39" w:name="_Toc16147"/>
      <w:r>
        <w:t>培训预算执行情况</w:t>
      </w:r>
      <w:bookmarkEnd w:id="37"/>
      <w:bookmarkEnd w:id="38"/>
      <w:bookmarkEnd w:id="39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4-2 2026年度人员培训资金使用情况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2623"/>
        <w:gridCol w:w="2623"/>
        <w:gridCol w:w="130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26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预算金额（元）</w:t>
            </w:r>
          </w:p>
        </w:tc>
        <w:tc>
          <w:tcPr>
            <w:tcW w:w="26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实际支出（元）</w:t>
            </w:r>
          </w:p>
        </w:tc>
        <w:tc>
          <w:tcPr>
            <w:tcW w:w="130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11,600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研发部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5,100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产品质量部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3,000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综合部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2,400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b/>
              </w:rPr>
            </w:pPr>
            <w:r>
              <w:rPr>
                <w:b/>
              </w:rPr>
              <w:t>22,100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按计划执行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—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截止2026年4月，</w:t>
      </w:r>
      <w:r>
        <w:t>培训费用专款专用，支出合规可控，剩余预算额度专项用于下半年技术、管理类培训授课、教材及讲师费用。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0" w:name="heading_14"/>
      <w:bookmarkStart w:id="41" w:name="_Toc22184"/>
      <w:bookmarkStart w:id="42" w:name="_Toc27428"/>
      <w:r>
        <w:t>培训效果评估</w:t>
      </w:r>
      <w:bookmarkEnd w:id="40"/>
      <w:bookmarkEnd w:id="41"/>
      <w:bookmarkEnd w:id="4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1-4月全部已完结培训，均完成课后测评、岗位落地复盘双向效果评估，整体评估结果良好；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参训人员课后理论+实操考核通过率100%，培训知识可落地适配日常运维、管理工作；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全员参训反馈培训贴合岗位实操痛点，管理制度、运维工具、应急流程类课程实用性较强。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3" w:name="_Toc542"/>
      <w:bookmarkStart w:id="44" w:name="heading_15"/>
      <w:bookmarkStart w:id="45" w:name="_Toc5536"/>
      <w:r>
        <w:t>关键岗位备份计划执行情况</w:t>
      </w:r>
      <w:bookmarkEnd w:id="43"/>
      <w:bookmarkEnd w:id="44"/>
      <w:bookmarkEnd w:id="45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6" w:name="heading_16"/>
      <w:bookmarkStart w:id="47" w:name="_Toc6040"/>
      <w:bookmarkStart w:id="48" w:name="_Toc12243"/>
      <w:r>
        <w:t>备份完成情况</w:t>
      </w:r>
      <w:bookmarkEnd w:id="46"/>
      <w:bookmarkEnd w:id="47"/>
      <w:bookmarkEnd w:id="4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截止2026年4月，已完成运维部经理和研发部经理的备份工作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2026年度优化备份排期，全部关键岗位备份工作集中上半年3-6月落地完成，相较2025年10月集中完工模式，岗位兜底机制提前搭建完毕，Q1备份人员能力达标率100%。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5-1 2026年度人员备份计划完成情况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52"/>
        <w:gridCol w:w="1371"/>
        <w:gridCol w:w="1592"/>
        <w:gridCol w:w="1258"/>
        <w:gridCol w:w="1597"/>
        <w:gridCol w:w="135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5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13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A岗位</w:t>
            </w:r>
          </w:p>
        </w:tc>
        <w:tc>
          <w:tcPr>
            <w:tcW w:w="15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B岗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备份要求</w:t>
            </w:r>
          </w:p>
        </w:tc>
        <w:tc>
          <w:tcPr>
            <w:tcW w:w="159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35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运维项目经理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研发部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研发部经理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产品质量部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产品质量部经理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产品质量部专员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综合部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综合部经理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人事专员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按计划执行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9" w:name="_Toc29963"/>
      <w:bookmarkStart w:id="50" w:name="heading_17"/>
      <w:bookmarkStart w:id="51" w:name="_Toc25396"/>
      <w:r>
        <w:t>备份人员能力达标情况</w:t>
      </w:r>
      <w:bookmarkEnd w:id="49"/>
      <w:bookmarkEnd w:id="50"/>
      <w:bookmarkEnd w:id="5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本年度Q1备份人员能力核验通过率100%，运维部经理+运维项目经理双向轮岗备份机制已正式落地生效。本次能力核验覆盖岗位全流程技能、应急响应流程、独立顶岗处置三大维度，核验结果全部合格。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外部机动储备人才信息已全部归档至《外部人才储备台账》，建立月度回访机制，实时更新人才从业状态、薪资预期、岗位适配度信息；已核验合格的内部备份人员，统一纳入公司关键岗位人才库，作为岗位空缺、人员异动第一顺位替补人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2" w:name="_Toc4801"/>
      <w:bookmarkStart w:id="53" w:name="heading_18"/>
      <w:bookmarkStart w:id="54" w:name="_Toc5712"/>
      <w:r>
        <w:t>人员绩效考核执行情况</w:t>
      </w:r>
      <w:bookmarkEnd w:id="52"/>
      <w:bookmarkEnd w:id="53"/>
      <w:bookmarkEnd w:id="54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5" w:name="_Toc10335"/>
      <w:bookmarkStart w:id="56" w:name="heading_19"/>
      <w:bookmarkStart w:id="57" w:name="_Toc23473"/>
      <w:r>
        <w:t>考核完成情况</w:t>
      </w:r>
      <w:bookmarkEnd w:id="55"/>
      <w:bookmarkEnd w:id="56"/>
      <w:bookmarkEnd w:id="57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6-1 2026年度人员绩效考核计划完成情况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87"/>
        <w:gridCol w:w="1425"/>
        <w:gridCol w:w="2482"/>
        <w:gridCol w:w="2482"/>
        <w:gridCol w:w="94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8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考核类型</w:t>
            </w:r>
          </w:p>
        </w:tc>
        <w:tc>
          <w:tcPr>
            <w:tcW w:w="14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考核周期</w:t>
            </w:r>
          </w:p>
        </w:tc>
        <w:tc>
          <w:tcPr>
            <w:tcW w:w="248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应考核人次</w:t>
            </w:r>
          </w:p>
        </w:tc>
        <w:tc>
          <w:tcPr>
            <w:tcW w:w="248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实际考核人次</w:t>
            </w:r>
          </w:p>
        </w:tc>
        <w:tc>
          <w:tcPr>
            <w:tcW w:w="94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月度考核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每月一次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1-4月：</w:t>
            </w:r>
            <w:r>
              <w:rPr>
                <w:rFonts w:hint="eastAsia"/>
                <w:lang w:val="en-US" w:eastAsia="zh-CN"/>
              </w:rPr>
              <w:t>36</w:t>
            </w:r>
            <w:r>
              <w:t>人次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1-4月：</w:t>
            </w:r>
            <w:r>
              <w:rPr>
                <w:rFonts w:hint="eastAsia"/>
                <w:lang w:val="en-US" w:eastAsia="zh-CN"/>
              </w:rPr>
              <w:t>36</w:t>
            </w:r>
            <w:r>
              <w:t>人次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季度考核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每季度一次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Q1：</w:t>
            </w:r>
            <w:r>
              <w:rPr>
                <w:rFonts w:hint="eastAsia"/>
                <w:lang w:val="en-US" w:eastAsia="zh-CN"/>
              </w:rPr>
              <w:t>9</w:t>
            </w:r>
            <w:r>
              <w:t>人次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Q1：</w:t>
            </w:r>
            <w:r>
              <w:rPr>
                <w:rFonts w:hint="eastAsia"/>
                <w:lang w:val="en-US" w:eastAsia="zh-CN"/>
              </w:rPr>
              <w:t>9</w:t>
            </w:r>
            <w:r>
              <w:t>人次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年度考核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每年一次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按计划年底执行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1-4月合计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45</w:t>
            </w:r>
            <w:r>
              <w:rPr>
                <w:b/>
              </w:rPr>
              <w:t>人次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45</w:t>
            </w:r>
            <w:r>
              <w:rPr>
                <w:b/>
              </w:rPr>
              <w:t>人次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100%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8" w:name="heading_20"/>
      <w:bookmarkStart w:id="59" w:name="_Toc10354"/>
      <w:bookmarkStart w:id="60" w:name="_Toc23587"/>
      <w:r>
        <w:t>绩效考核及时完成率</w:t>
      </w:r>
      <w:bookmarkEnd w:id="58"/>
      <w:bookmarkEnd w:id="59"/>
      <w:bookmarkEnd w:id="6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2026年1-4月月度绩效考核及时完成率连续达标100%。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1-4月既定4次月度考核全部按期闭环，综合部固定每月5日前完成上月考核材料归集、分值核算、结果公示全流程工作，无延期报送、漏考核、漏归档问题。针对部门材料迟报问题，综合部已纳入部门负责人月度绩效扣分项约束，压实部门考核报送责任，保障考核流程标准化、时效化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1" w:name="_Toc32229"/>
      <w:bookmarkStart w:id="62" w:name="heading_22"/>
      <w:bookmarkStart w:id="63" w:name="_Toc25340"/>
      <w:r>
        <w:t>人员能力评价执行情况</w:t>
      </w:r>
      <w:bookmarkEnd w:id="61"/>
      <w:bookmarkEnd w:id="62"/>
      <w:bookmarkEnd w:id="6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4" w:name="_Toc29492"/>
      <w:bookmarkStart w:id="65" w:name="heading_23"/>
      <w:bookmarkStart w:id="66" w:name="_Toc2067"/>
      <w:r>
        <w:t>评价完成情况</w:t>
      </w:r>
      <w:bookmarkEnd w:id="64"/>
      <w:bookmarkEnd w:id="65"/>
      <w:bookmarkEnd w:id="6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公司半年度技能评价固定为6月、12月开展，1-4月未到评定周期，全员技能评定按下半年计划执行</w:t>
      </w:r>
      <w:r>
        <w:rPr>
          <w:rFonts w:hint="eastAsia"/>
          <w:lang w:eastAsia="zh-CN"/>
        </w:rPr>
        <w:t>。</w:t>
      </w:r>
      <w:r>
        <w:t>入职、晋升即时能力评价常态化落地。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7" w:name="_Toc13651"/>
      <w:r>
        <w:rPr>
          <w:rFonts w:hint="eastAsia"/>
          <w:lang w:val="en-US" w:eastAsia="zh-CN"/>
        </w:rPr>
        <w:t>资源管理报告</w:t>
      </w:r>
      <w:bookmarkEnd w:id="6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8" w:name="heading_25"/>
      <w:bookmarkStart w:id="69" w:name="_Toc15285"/>
      <w:r>
        <w:t>运维工具管理</w:t>
      </w:r>
      <w:bookmarkEnd w:id="68"/>
      <w:bookmarkEnd w:id="6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0" w:name="heading_26"/>
      <w:bookmarkStart w:id="71" w:name="_Toc4895"/>
      <w:r>
        <w:t>管理体系概述</w:t>
      </w:r>
      <w:bookmarkEnd w:id="70"/>
      <w:bookmarkEnd w:id="7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根据《运维服务工具管理制度》，公司目前使用的运维工具主要包括iTop运维管理平台和</w:t>
      </w:r>
      <w:r>
        <w:rPr>
          <w:rFonts w:hint="eastAsia"/>
          <w:lang w:val="en-US" w:eastAsia="zh-CN"/>
        </w:rPr>
        <w:t>华风数据</w:t>
      </w:r>
      <w:r>
        <w:t>运维监控平台。iTop平台集成了服务台、事件管理、问题管理、变更管理、配置管理、服务知识等功能模块，实现了运维流程的数字化管理；</w:t>
      </w:r>
      <w:r>
        <w:rPr>
          <w:rFonts w:hint="eastAsia"/>
          <w:lang w:val="en-US" w:eastAsia="zh-CN"/>
        </w:rPr>
        <w:t>华风数据</w:t>
      </w:r>
      <w:r>
        <w:t>运维监控平台实现了对服务器、网络设备、数据库、应用性能等的全面监控。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2" w:name="heading_27"/>
      <w:bookmarkStart w:id="73" w:name="_Toc20068"/>
      <w:r>
        <w:t>核心管理机制的应用与执行情况</w:t>
      </w:r>
      <w:bookmarkEnd w:id="72"/>
      <w:bookmarkEnd w:id="7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运维工具管理主要工作按计划推进。研发部持续优化运维工具功能，重点推进自动化巡检工具的研发工作。根据《2026年度研发规划》，已完成自动化巡检工具的开发及测试，包括服务器巡检、网络设备巡检、数据库巡检、电网设备巡检等功能模块，巡检报告自动生成功能已实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研发部负责编制和维护运维工具操作手册，确保操作人员熟练掌握工具使用方法。运维部经理负责组织运维工具使用效果评估，按计划于年底执行。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4" w:name="heading_28"/>
      <w:bookmarkStart w:id="75" w:name="_Toc5240"/>
      <w:r>
        <w:t>关键绩效指标达成情况</w:t>
      </w:r>
      <w:bookmarkEnd w:id="74"/>
      <w:bookmarkEnd w:id="7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运维工具评审次数目标值为≥1次，考核频度为年度。1-4月尚未到评定周期，按计划于2026年底执行。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558"/>
        <w:gridCol w:w="1135"/>
        <w:gridCol w:w="850"/>
        <w:gridCol w:w="2273"/>
        <w:gridCol w:w="170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55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频度</w:t>
            </w:r>
          </w:p>
        </w:tc>
        <w:tc>
          <w:tcPr>
            <w:tcW w:w="227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1-4月状态</w:t>
            </w:r>
          </w:p>
        </w:tc>
        <w:tc>
          <w:tcPr>
            <w:tcW w:w="170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5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运维工具评审次数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≥1次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年度</w:t>
            </w:r>
          </w:p>
        </w:tc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按计划年底执行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6" w:name="heading_29"/>
      <w:bookmarkStart w:id="77" w:name="_Toc25923"/>
      <w:r>
        <w:t>应用成效总结</w:t>
      </w:r>
      <w:bookmarkEnd w:id="76"/>
      <w:bookmarkEnd w:id="7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运维工具在公司运维服务中发挥了重要作用：流程规范化，通过iTop平台将运维流程固化，确保服务过程可记录、可追溯；监控全面化，哈哈哈哈哈运维监控平台实现对服务器、网络设备、数据库、电网设备的全面监控；自动化水平提升，自动化巡检工具已完成开发，可减少人工巡检工作量，降低操作失误风险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8" w:name="heading_30"/>
      <w:bookmarkStart w:id="79" w:name="_Toc10686"/>
      <w:r>
        <w:t>服务台应用情况</w:t>
      </w:r>
      <w:bookmarkEnd w:id="78"/>
      <w:bookmarkEnd w:id="7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0" w:name="heading_31"/>
      <w:bookmarkStart w:id="81" w:name="_Toc6126"/>
      <w:r>
        <w:t>服务台管理体系概述</w:t>
      </w:r>
      <w:bookmarkEnd w:id="80"/>
      <w:bookmarkEnd w:id="8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公司以《服务台管理制度》为管理依据，以iTop系统为技术平台，构建了规范化的服务台管理体系。该体系实现了“制度流程化、流程工具化”，确保了服务请求从受理、分派、处理、关闭到回访的全过程闭环管理，为运维服务提供了统一的入口和核心枢纽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2" w:name="heading_32"/>
      <w:bookmarkStart w:id="83" w:name="_Toc14825"/>
      <w:r>
        <w:t>核心管理机制的应用与执行情况</w:t>
      </w:r>
      <w:bookmarkEnd w:id="82"/>
      <w:bookmarkEnd w:id="8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在服务入口与职责落实方面，公司设立统一服务热线，提供7×24小时不间断服务。服务台与运维工程师的职责已在iTop系统中通过权限配置和流程设计固化，形成了分工明确、协同高效的工作机制。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服务台工作严格遵循标准化流程执行，包括报障受理、问题分析、事件处理、工单关闭、知识录入、客户回访六个环节，服务质量获得客户认可。运维部经理定期填写《服务台服务质量考核表》，考核结果与个人绩效挂钩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4" w:name="heading_33"/>
      <w:bookmarkStart w:id="85" w:name="_Toc28674"/>
      <w:r>
        <w:t>关键绩效指标达成情况</w:t>
      </w:r>
      <w:bookmarkEnd w:id="84"/>
      <w:bookmarkEnd w:id="8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服务台2026年1-4月关键指标全部达成。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服务台请求关闭率目标值为95%，考核频度为月度。2026年1月至4月，每月指标完成率均为100%，连续4个月稳定达标。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服务台接通率目标值为98%，考核频度为月度。2026年1月至4月，各月度接通率均达到100%，客户来电均能及时接听响应。</w:t>
      </w:r>
    </w:p>
    <w:tbl>
      <w:tblPr>
        <w:tblStyle w:val="TableNormal"/>
        <w:tblW w:w="496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92"/>
        <w:gridCol w:w="2374"/>
        <w:gridCol w:w="1800"/>
      </w:tblGrid>
      <w:tr>
        <w:tblPrEx>
          <w:tblW w:w="4966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9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237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服务台请求关闭率（目标≥95%）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服务台接通率（目标≥98%）</w:t>
            </w:r>
          </w:p>
        </w:tc>
      </w:tr>
      <w:tr>
        <w:tblPrEx>
          <w:tblW w:w="496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1月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</w:tr>
      <w:tr>
        <w:tblPrEx>
          <w:tblW w:w="496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2月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</w:tr>
      <w:tr>
        <w:tblPrEx>
          <w:tblW w:w="496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3月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</w:tr>
      <w:tr>
        <w:tblPrEx>
          <w:tblW w:w="496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4月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6" w:name="heading_34"/>
      <w:bookmarkStart w:id="87" w:name="_Toc5258"/>
      <w:r>
        <w:t>应用成效总结</w:t>
      </w:r>
      <w:bookmarkEnd w:id="86"/>
      <w:bookmarkEnd w:id="8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服务台制度与iTop系统结合应用以来，取得了以下成效：流程标准化，将制度流程固化于系统，提升运维效率；服务可视化，工单状态实时更新，增强客户信任；管理数据化，基于系统报表对KPI进行量化监控，支撑管理决策；知识资产化，建立与运维流程联动的知识管理体系，提升团队问题解决能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8" w:name="heading_35"/>
      <w:bookmarkStart w:id="89" w:name="_Toc16811"/>
      <w:r>
        <w:t>备件库应用情况</w:t>
      </w:r>
      <w:bookmarkEnd w:id="88"/>
      <w:bookmarkEnd w:id="8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0" w:name="heading_36"/>
      <w:bookmarkStart w:id="91" w:name="_Toc23691"/>
      <w:r>
        <w:t>备品备件管理体系概述</w:t>
      </w:r>
      <w:bookmarkEnd w:id="90"/>
      <w:bookmarkEnd w:id="9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公司以《备件库管理制度》为管理依据，遵循“统一管理、集中调配”的原则，构建了覆盖备件全生命周期的管理体系。该体系涵盖了供应商选择、采购计划、入库验收、库存管理、可用性检测、出库审批、报废处理等环节，确保备件质量可靠、供应及时、管理规范，为达成服务级别协议（SLA）提供坚实的物资保障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2" w:name="heading_37"/>
      <w:bookmarkStart w:id="93" w:name="_Toc3541"/>
      <w:r>
        <w:t>核心管理机制的应用与执行情况</w:t>
      </w:r>
      <w:bookmarkEnd w:id="92"/>
      <w:bookmarkEnd w:id="9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备件管理职责与流程落实方面，公司建立了清晰的组织分工：采购部负责供应商管理、采购计划制定和库存管理；运维部负责提出备件采购需求和协助备件可用性检测；备件库专员负责备件的入库登记、日常保管和出库发放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备件管理严格遵循标准化流程：入库前需经过验收和功能性测试，合格后方可入库；出库凭审批单办理，确保账实相符；每月对库存备件按30%比例进行抽检，对检测中发现问题的备件及时送修或报废处理。备件库专员每月进行库存盘点，盘点结果计入个人绩效考核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4" w:name="heading_38"/>
      <w:bookmarkStart w:id="95" w:name="_Toc31276"/>
      <w:r>
        <w:t>关键绩效指标达成情况</w:t>
      </w:r>
      <w:bookmarkEnd w:id="94"/>
      <w:bookmarkEnd w:id="9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备件库2026年1-4月关键指标全部达成。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备件可用率目标值为95%，考核频度为季度。2026年第一季度为100%，达到目标值。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备件库存准确率目标值为100%，考核频度为月度。2026年1月至4月，各月度库存准确率均为100%，账实相符。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31"/>
        <w:gridCol w:w="1015"/>
        <w:gridCol w:w="903"/>
        <w:gridCol w:w="903"/>
        <w:gridCol w:w="903"/>
        <w:gridCol w:w="903"/>
        <w:gridCol w:w="1103"/>
        <w:gridCol w:w="76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3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0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9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1月</w:t>
            </w:r>
          </w:p>
        </w:tc>
        <w:tc>
          <w:tcPr>
            <w:tcW w:w="9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2月</w:t>
            </w:r>
          </w:p>
        </w:tc>
        <w:tc>
          <w:tcPr>
            <w:tcW w:w="9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3月</w:t>
            </w:r>
          </w:p>
        </w:tc>
        <w:tc>
          <w:tcPr>
            <w:tcW w:w="9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4月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7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备件可用率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备件库存准确率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6" w:name="heading_39"/>
      <w:bookmarkStart w:id="97" w:name="_Toc25268"/>
      <w:r>
        <w:t>应用成效总结</w:t>
      </w:r>
      <w:bookmarkEnd w:id="96"/>
      <w:bookmarkEnd w:id="9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备件库管理制度与流程结合应用以来，取得了以下成效：资源保障有力，严格供应商管理和采购流程，确保备件来源可靠、成本可控；库存质量可控，通过月度抽检和闭环管理，实现备件有效性的精准管控；服务支撑高效，精细化的库存管理与快速出库机制，确保故障发生时备件能够及时到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8" w:name="heading_40"/>
      <w:bookmarkStart w:id="99" w:name="_Toc21984"/>
      <w:r>
        <w:t>服务知识应用情况</w:t>
      </w:r>
      <w:bookmarkEnd w:id="98"/>
      <w:bookmarkEnd w:id="9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0" w:name="heading_41"/>
      <w:bookmarkStart w:id="101" w:name="_Toc5568"/>
      <w:r>
        <w:t>服务知识管理体系概述</w:t>
      </w:r>
      <w:bookmarkEnd w:id="100"/>
      <w:bookmarkEnd w:id="10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以《服务知识管理制度》为管理依据，遵循“统一管理、集中维护、全员共享、持续优化”的原则，构建了覆盖知识全生命周期的管理体系。该体系涵盖了知识的提交、审批、发布、使用、更新、淘汰等环节，确保知识资产的有效沉淀、规范管理和高效利用，为运维服务提供智力支撑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2" w:name="heading_42"/>
      <w:bookmarkStart w:id="103" w:name="_Toc27365"/>
      <w:r>
        <w:t>核心管理机制的应用与执行情况</w:t>
      </w:r>
      <w:bookmarkEnd w:id="102"/>
      <w:bookmarkEnd w:id="10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服务知识管理职责与流程落实方面，公司建立了清晰的组织分工：运维部经理兼任服务知识管理员，负责制度执行、知识入库审批、知识质量监督与权限管理；服务知识专员负责知识的日常发布、分类整理、系统维护与内容更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服务知识管理严格遵循标准化流程：知识提交后须经审批方可发布，更新与删除需重新审核，确保知识内容的准确性和时效性。知识库与运维流程实现联动，事件处理中的典型解决方案作为已知错误录入知识库，形成“事件→问题→知识”的闭环管理。在权限安全方面，精细设置文档权限，对分享内容添加水印、禁止复制，确保知识安全可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4" w:name="heading_43"/>
      <w:bookmarkStart w:id="105" w:name="_Toc19032"/>
      <w:r>
        <w:t>关键绩效指标达成情况</w:t>
      </w:r>
      <w:bookmarkEnd w:id="104"/>
      <w:bookmarkEnd w:id="10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服务知识2026年1-4月关键指标全部达成。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新增知识条目目标值为每月≥5条，考核频度为月度。2026年1月至4月，各月度新增知识条目</w:t>
      </w:r>
      <w:r>
        <w:rPr>
          <w:rFonts w:hint="eastAsia"/>
          <w:lang w:val="en-US" w:eastAsia="zh-CN"/>
        </w:rPr>
        <w:t>分别为10条、15条、25条和25条</w:t>
      </w:r>
      <w:r>
        <w:t>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服务知识使用率目标值为≥80%，考核频度为季度。2026年第一季度为90%，超出目标值10个百分点。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知识采纳率目标值为≥70%，考核频度为季度。2026年第一季度为90%，超出目标值20个百分点。</w:t>
      </w:r>
    </w:p>
    <w:tbl>
      <w:tblPr>
        <w:tblStyle w:val="TableNormal"/>
        <w:tblW w:w="896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2"/>
        <w:gridCol w:w="1309"/>
        <w:gridCol w:w="1086"/>
        <w:gridCol w:w="1086"/>
        <w:gridCol w:w="1086"/>
        <w:gridCol w:w="1086"/>
        <w:gridCol w:w="942"/>
        <w:gridCol w:w="1145"/>
      </w:tblGrid>
      <w:tr>
        <w:tblPrEx>
          <w:tblW w:w="896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2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30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0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1月</w:t>
            </w:r>
          </w:p>
        </w:tc>
        <w:tc>
          <w:tcPr>
            <w:tcW w:w="10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2月</w:t>
            </w:r>
          </w:p>
        </w:tc>
        <w:tc>
          <w:tcPr>
            <w:tcW w:w="10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3月</w:t>
            </w:r>
          </w:p>
        </w:tc>
        <w:tc>
          <w:tcPr>
            <w:tcW w:w="10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4月</w:t>
            </w:r>
          </w:p>
        </w:tc>
        <w:tc>
          <w:tcPr>
            <w:tcW w:w="94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1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962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新增知识条目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≥5条/月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10条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15条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25条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25条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</w:t>
            </w:r>
          </w:p>
        </w:tc>
      </w:tr>
      <w:tr>
        <w:tblPrEx>
          <w:tblW w:w="8962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服务知识使用率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≥80%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90%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90%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</w:t>
            </w:r>
          </w:p>
        </w:tc>
      </w:tr>
      <w:tr>
        <w:tblPrEx>
          <w:tblW w:w="8962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知识采纳率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≥70%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90%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90%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6" w:name="heading_44"/>
      <w:bookmarkStart w:id="107" w:name="_Toc30672"/>
      <w:r>
        <w:t>应用成效总结</w:t>
      </w:r>
      <w:bookmarkEnd w:id="106"/>
      <w:bookmarkEnd w:id="10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知识管理制度与流程结合应用以来，取得了以下成效：知识资产化，将个人经验转化为组织知识资产，避免知识流失；运维高效化，通过知识复用缩短故障排查时间，提升一线解决率；团队协同化，促进团队成员之间的经验交流与技术成长；管理闭环化，通过贡献、审核、应用、激励的闭环机制，确保知识的持续活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8" w:name="heading_45"/>
      <w:bookmarkStart w:id="109" w:name="_Toc4768"/>
      <w:r>
        <w:t>最终软件库应用情况</w:t>
      </w:r>
      <w:bookmarkEnd w:id="108"/>
      <w:bookmarkEnd w:id="10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0" w:name="heading_46"/>
      <w:bookmarkStart w:id="111" w:name="_Toc1137"/>
      <w:r>
        <w:t>软件库管理体系概述</w:t>
      </w:r>
      <w:bookmarkEnd w:id="110"/>
      <w:bookmarkEnd w:id="1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以《最终软件库管理制度》为管理依据，遵循“统一管理、集中存储、规范使用”的原则，构建了覆盖软件全生命周期的管理体系。该体系涵盖了软件的入库、存储、版本管理、授权管理、出库使用、退出等环节，确保软件资产清晰可控、授权合规使用，为运维服务提供标准的软件支撑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2" w:name="heading_47"/>
      <w:bookmarkStart w:id="113" w:name="_Toc9323"/>
      <w:r>
        <w:t>核心管理机制的应用与执行情况</w:t>
      </w:r>
      <w:bookmarkEnd w:id="112"/>
      <w:bookmarkEnd w:id="1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软件库管理职责与流程落实方面，公司建立了清晰的职责分工：研发部经理负责软件库的整体管理、制度执行与授权审计；技术支持工程师负责软件的入库登记、安全检测、版本更新与日常维护；运维工程师负责软件的使用申请、效果反馈与问题报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软件库管理严格遵循标准化流程执行，涵盖入库检测、分类存储、版本管理、授权登记、出库使用、退出清理等环节。所有软件入库前须经过安全检测和完整性验证，确保软件来源可靠、内容完整。建立软件版本基线，对正式版本、测试版本进行分类管理，版本更新需经测试验证后方可入库。所有商业软件授权在软件库中统一登记，按授权数量和使用范围进行管控，定期审计授权使用情况。技术支持工程师每月对软件库进行盘点，盘点结果纳入绩效考核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4" w:name="heading_48"/>
      <w:bookmarkStart w:id="115" w:name="_Toc28586"/>
      <w:r>
        <w:t>关键绩效指标达成情况</w:t>
      </w:r>
      <w:bookmarkEnd w:id="114"/>
      <w:bookmarkEnd w:id="1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软件库2026年1-4月关键指标按计划推进。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软件入库完整率目标值为100%，考核频度为半年度。1-4月尚未到评定周期，按计划于2026年6月和12月执行半年度评定。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135"/>
        <w:gridCol w:w="1065"/>
        <w:gridCol w:w="1065"/>
        <w:gridCol w:w="2656"/>
        <w:gridCol w:w="160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13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0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0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频度</w:t>
            </w:r>
          </w:p>
        </w:tc>
        <w:tc>
          <w:tcPr>
            <w:tcW w:w="265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1-4月状态</w:t>
            </w:r>
          </w:p>
        </w:tc>
        <w:tc>
          <w:tcPr>
            <w:tcW w:w="160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软件入库完整率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半年度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按计划6月/12月执行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6" w:name="heading_49"/>
      <w:bookmarkStart w:id="117" w:name="_Toc10778"/>
      <w:r>
        <w:t>应用成效总结</w:t>
      </w:r>
      <w:bookmarkEnd w:id="116"/>
      <w:bookmarkEnd w:id="1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自软件库管理制度与标准化流程结合应用以来，取得了显著成效：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软件资产清晰：通过统一登记和分类管理，全面掌握公司软件资产状况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授权合规可控：通过授权登记和定期审计，确保软件使用合规，降低法律风险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版本管理规范：通过基线管理和版本控制，避免错误版本在生产环境中使用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使用效率提升：运维人员可快速获取所需软件，减少查找时间，提升工作效率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8" w:name="heading_50"/>
      <w:bookmarkStart w:id="119" w:name="_Toc3378"/>
      <w:r>
        <w:t>服务数据应用情况</w:t>
      </w:r>
      <w:bookmarkEnd w:id="118"/>
      <w:bookmarkEnd w:id="11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0" w:name="heading_51"/>
      <w:bookmarkStart w:id="121" w:name="_Toc14304"/>
      <w:r>
        <w:t>服务数据管理体系概述</w:t>
      </w:r>
      <w:bookmarkEnd w:id="120"/>
      <w:bookmarkEnd w:id="1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以《服务数据管理制度》为管理依据，遵循“统一管理、安全可控、全程可溯”的原则，构建了覆盖服务数据全生命周期的管理体系。该体系涵盖了数据的分类、收集、备份、加密、恢复、销毁等环节，确保数据的完整性、可用性和保密性，为运维服务提供可靠的数据支撑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2" w:name="heading_52"/>
      <w:bookmarkStart w:id="123" w:name="_Toc23142"/>
      <w:r>
        <w:t>核心管理机制的应用与执行情况</w:t>
      </w:r>
      <w:bookmarkEnd w:id="122"/>
      <w:bookmarkEnd w:id="1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服务数据管理职责与流程落实方面，公司建立了清晰的职责分工：运维部负责服务数据的分类收集和日常管理，制定差异化的备份策略；研发部负责数据备份执行、存储管理与恢复验证；产品质量部负责数据完整性的监控与审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服务数据管理严格遵循标准化流程执行，涵盖数据分类、收集、备份、加密、恢复、销毁等环节。数据分类方面，将服务数据分为运维工单数据、配置管理数据、监控数据、技术文档、服务知识数据等类别，由责任部门分别负责收集和整理。数据备份方面，制定差异化的备份策略：运维工单数据每日全量备份，配置管理数据每周全量备份，监控数据每月增量备份，备份数据本地和云端双存储。数据恢复验证方面，每半年组织一次数据恢复试验，验证备份数据的可用性和完整性。数据加密方面，对客户敏感数据、系统核心配置等高密级数据实施存储加密和传输加密。责任部门定期评估数据管理执行情况，评估结果纳入绩效考核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4" w:name="heading_53"/>
      <w:bookmarkStart w:id="125" w:name="_Toc28626"/>
      <w:r>
        <w:t>关键绩效指标达成情况</w:t>
      </w:r>
      <w:bookmarkEnd w:id="124"/>
      <w:bookmarkEnd w:id="1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服务数据2026年1-4月关键指标全部达成。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数据备份成功率目标值为≥99%，考核频度为月度。2026年1月至4月，各月度数据备份成功率均为100%，连续4个月稳定达标。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数据恢复成功率目标值为≥95%，考核频度为半年度。1-4月尚未到评定周期，按计划于2026年6月和12月执行半年度恢复验证。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数据完整性目标值为≥99%，考核频度为季度。2026年第一季度为100%，达到目标值，较2025年第二季度（95%）提升5个百分点。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21"/>
        <w:gridCol w:w="960"/>
        <w:gridCol w:w="854"/>
        <w:gridCol w:w="854"/>
        <w:gridCol w:w="854"/>
        <w:gridCol w:w="854"/>
        <w:gridCol w:w="1039"/>
        <w:gridCol w:w="168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1月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2月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3月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4月</w:t>
            </w:r>
          </w:p>
        </w:tc>
        <w:tc>
          <w:tcPr>
            <w:tcW w:w="10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6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数据备份成功率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≥99%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数据恢复成功率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≥95%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按计划6月/12月执行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数据完整性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≥99%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达标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6" w:name="heading_55"/>
      <w:bookmarkStart w:id="127" w:name="_Toc19082"/>
      <w:r>
        <w:t>应用成效总结</w:t>
      </w:r>
      <w:bookmarkEnd w:id="126"/>
      <w:bookmarkEnd w:id="1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服务数据管理体系通过规范化的流程和严格的安全管控，取得了显著成效：数据安全有保障，通过分级加密和权限管控，确保敏感数据不泄露；数据备份全覆盖，关键数据每日备份，2026年1-4月备份成功率100%；恢复能力已验证，定期开展数据恢复试验，确保备份数据可用；数据管理规范化，建立了从收集、存储到销毁的全生命周期管理机制；数据完整性改善，从2025年Q2的95%提升至2026年Q1的100%，改进效果显著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8" w:name="_Toc29595"/>
      <w:r>
        <w:rPr>
          <w:rFonts w:hint="eastAsia"/>
          <w:lang w:val="en-US" w:eastAsia="zh-CN"/>
        </w:rPr>
        <w:t>技术管理报告</w:t>
      </w:r>
      <w:bookmarkEnd w:id="12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9" w:name="_Toc25888"/>
      <w:bookmarkStart w:id="130" w:name="heading_2"/>
      <w:bookmarkStart w:id="131" w:name="_Toc28205"/>
      <w:r>
        <w:t>研发概述</w:t>
      </w:r>
      <w:bookmarkEnd w:id="129"/>
      <w:bookmarkEnd w:id="130"/>
      <w:bookmarkEnd w:id="13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2" w:name="_Toc16117"/>
      <w:bookmarkStart w:id="133" w:name="_Toc30941"/>
      <w:r>
        <w:t>研发背景</w:t>
      </w:r>
      <w:bookmarkEnd w:id="132"/>
      <w:bookmarkEnd w:id="1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基于2025年度研发成果，结合2025年指标完成情况中暴露的问题以及2026年运维服务能力提升需求，2026年度技术研发工作聚焦于运维自动化提升、数据质量保障、智能运维能力建设和运维工具整合优化四个方向，补齐现有运维工具功能短板，降低人工运维成本，适配公司外部项目运维交付标准化要求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4" w:name="_Toc9625"/>
      <w:bookmarkStart w:id="135" w:name="_Toc5769"/>
      <w:r>
        <w:t>1-4月研发目标</w:t>
      </w:r>
      <w:bookmarkEnd w:id="134"/>
      <w:bookmarkEnd w:id="1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根据公司正式发文《2026年度研发规划》，2026年1-4月阶段性研发核心任务固定如下，所有节点贴合年度规划时序管控要求：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完成项目启动及开发运行环境搭建，敲定项目组织架构、权责分工与全周期项目执行计划；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完成自动化巡检、数据校验、智能告警三大核心模块全域业务需求调研、评审与定稿分析工作；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落地系统开发一期工作，完成全品类自动化巡检工具开发、单元测试及联调测试工作。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6" w:name="_Toc1465"/>
      <w:bookmarkStart w:id="137" w:name="_Toc15744"/>
      <w:r>
        <w:t>整体完成情况</w:t>
      </w:r>
      <w:bookmarkEnd w:id="136"/>
      <w:bookmarkEnd w:id="137"/>
    </w:p>
    <w:tbl>
      <w:tblPr>
        <w:tblStyle w:val="TableNormal"/>
        <w:tblW w:w="826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5"/>
        <w:gridCol w:w="2646"/>
        <w:gridCol w:w="1415"/>
        <w:gridCol w:w="3509"/>
      </w:tblGrid>
      <w:tr>
        <w:tblPrEx>
          <w:tblW w:w="826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研发内容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计划状态</w:t>
            </w:r>
          </w:p>
        </w:tc>
        <w:tc>
          <w:tcPr>
            <w:tcW w:w="350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实际完成情况</w:t>
            </w:r>
          </w:p>
        </w:tc>
      </w:tr>
      <w:tr>
        <w:tblPrEx>
          <w:tblW w:w="826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工具研发（1-4月阶段）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按计划推进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按计划完成巡检报告自动生成功能</w:t>
            </w:r>
          </w:p>
        </w:tc>
      </w:tr>
      <w:tr>
        <w:tblPrEx>
          <w:tblW w:w="826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手册研发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按计划5月启动，本期无工作开展</w:t>
            </w:r>
          </w:p>
        </w:tc>
      </w:tr>
      <w:tr>
        <w:tblPrEx>
          <w:tblW w:w="826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新技术研发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按计划8月后启动，本期无工作开展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8" w:name="_Toc6116"/>
      <w:bookmarkStart w:id="139" w:name="_Toc23835"/>
      <w:r>
        <w:t>工具研发完成情况</w:t>
      </w:r>
      <w:bookmarkEnd w:id="138"/>
      <w:bookmarkEnd w:id="13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0" w:name="_Toc15790"/>
      <w:bookmarkStart w:id="141" w:name="_Toc17272"/>
      <w:r>
        <w:t>实施规划完成情况</w:t>
      </w:r>
      <w:bookmarkEnd w:id="140"/>
      <w:bookmarkEnd w:id="14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严格对标《2026年度研发规划》时序要求，本年度1-4月需闭环第一至第三阶段全流程研发工作，阶段进度对标如下：</w:t>
      </w:r>
    </w:p>
    <w:tbl>
      <w:tblPr>
        <w:tblStyle w:val="TableNormal"/>
        <w:tblW w:w="826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0"/>
        <w:gridCol w:w="1174"/>
        <w:gridCol w:w="1660"/>
        <w:gridCol w:w="1662"/>
        <w:gridCol w:w="1662"/>
        <w:gridCol w:w="1417"/>
      </w:tblGrid>
      <w:tr>
        <w:tblPrEx>
          <w:tblW w:w="826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17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阶段名称</w:t>
            </w:r>
          </w:p>
        </w:tc>
        <w:tc>
          <w:tcPr>
            <w:tcW w:w="16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6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26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第一阶段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项目启动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>
        <w:tblPrEx>
          <w:tblW w:w="826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第二阶段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需求分析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>
        <w:tblPrEx>
          <w:tblW w:w="826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第三阶段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系统开发一期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2026年3-4月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2" w:name="_Toc7070"/>
      <w:bookmarkStart w:id="143" w:name="_Toc30920"/>
      <w:r>
        <w:t>具体功能研发完成情况</w:t>
      </w:r>
      <w:bookmarkEnd w:id="142"/>
      <w:bookmarkEnd w:id="1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本期聚焦自动化巡检工具全域功能开发，覆盖机房、业务设备、数据库全品类巡检，配套自动报表能力，各模块研发进度明细如下：</w:t>
      </w:r>
    </w:p>
    <w:tbl>
      <w:tblPr>
        <w:tblStyle w:val="TableNormal"/>
        <w:tblW w:w="99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2"/>
        <w:gridCol w:w="1400"/>
        <w:gridCol w:w="3884"/>
        <w:gridCol w:w="1402"/>
        <w:gridCol w:w="1402"/>
      </w:tblGrid>
      <w:tr>
        <w:tblPrEx>
          <w:tblW w:w="990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研发方向</w:t>
            </w:r>
          </w:p>
        </w:tc>
        <w:tc>
          <w:tcPr>
            <w:tcW w:w="14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功能模块</w:t>
            </w:r>
          </w:p>
        </w:tc>
        <w:tc>
          <w:tcPr>
            <w:tcW w:w="388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具体功能</w:t>
            </w:r>
          </w:p>
        </w:tc>
        <w:tc>
          <w:tcPr>
            <w:tcW w:w="14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4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自动化巡检工具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服务器巡检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CPU、内存、磁盘巡检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网络设备巡检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连通性巡检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数据库巡检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连接数、慢查询、表空间检查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前端设备巡检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电网设备巡检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巡检报告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自动生成巡检报告（日报/周报/月报）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数据完整性校验工具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字段校验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必填字段完整性检查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格式校验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日期、金额等字段格式正确性检查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逻辑校验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业务逻辑一致性检查（如订单金额=明细汇总）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异常预警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异常数据自动告警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智能告警优化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告警聚合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相似告警自动聚合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根因推荐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基于历史数据推荐故障根因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告警抑制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关联告警自动抑制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告警升级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长时间未处理告警自动升级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知识库优化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语义搜索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自然语言搜索知识库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智能推荐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根据事件描述自动推荐相关知识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4" w:name="_Toc10067"/>
      <w:bookmarkStart w:id="145" w:name="_Toc14288"/>
      <w:r>
        <w:t>研发工具应用情况</w:t>
      </w:r>
      <w:bookmarkEnd w:id="144"/>
      <w:bookmarkEnd w:id="14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eastAsia="宋体" w:hint="eastAsia"/>
          <w:lang w:val="en-US" w:eastAsia="zh-CN"/>
        </w:rPr>
      </w:pPr>
      <w:r>
        <w:t>自动化巡检工具已完成开发，正在进行内部集成测试，优化适配公司现有运维系统端口，计划下阶段在内部试点项目部署试运行</w:t>
      </w:r>
      <w:r>
        <w:rPr>
          <w:rFonts w:hint="eastAsia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6" w:name="_Toc6485"/>
      <w:bookmarkStart w:id="147" w:name="_Toc21827"/>
      <w:r>
        <w:t>手册研发完成情况</w:t>
      </w:r>
      <w:bookmarkEnd w:id="146"/>
      <w:bookmarkEnd w:id="14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研发规划》全域时序安排，标准化运维工具手册研发工作统一于2026年5月正式启动，2026年1-4月未开展任何手册调研、编写、评审工作，无相关工时及费用支出。本年度全套运维工具手册规划明细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21"/>
        <w:gridCol w:w="2771"/>
        <w:gridCol w:w="1443"/>
        <w:gridCol w:w="1682"/>
        <w:gridCol w:w="190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7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手册名称</w:t>
            </w:r>
          </w:p>
        </w:tc>
        <w:tc>
          <w:tcPr>
            <w:tcW w:w="14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8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9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当前状态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《自动化巡检工具操作手册》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《数据完整性校验工具操作手册》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2026年7月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《智能告警配置与管理手册》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技术支持工程师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2026年9月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《运维知识库使用手册》（更新版）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技术支持工程师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2026年10月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小结：1-4月手册研发工作尚未启动，后续将严格对标月度节点，联动工具上线节奏同步完成编写、内审、定稿归档。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8" w:name="_Toc13026"/>
      <w:bookmarkStart w:id="149" w:name="_Toc18170"/>
      <w:r>
        <w:t>新技术研发完成情况</w:t>
      </w:r>
      <w:bookmarkEnd w:id="148"/>
      <w:bookmarkEnd w:id="14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年度研发顶层规划，AI运维、算法研判类新技术研发统一排布于2026年8月后启动，依托一期巡检工具落地数据开展技术攻关。2026年1-4月未立项、未开展新技术调研、代码开发及测试工作，本年度新技术研发规划明细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4"/>
        <w:gridCol w:w="1436"/>
        <w:gridCol w:w="2863"/>
        <w:gridCol w:w="1676"/>
        <w:gridCol w:w="183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4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新技术方向</w:t>
            </w:r>
          </w:p>
        </w:tc>
        <w:tc>
          <w:tcPr>
            <w:tcW w:w="286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研究内容</w:t>
            </w:r>
          </w:p>
        </w:tc>
        <w:tc>
          <w:tcPr>
            <w:tcW w:w="16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8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当前状态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根因分析技术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基于告警和事件数据自动分析故障根因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2026年8月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异常检测算法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基于历史监控数据识别异常模式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2026年9月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知识图谱构建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构建运维知识图谱，实现知识智能关联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2026年10月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自动化恢复技术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针对常见故障研发自动恢复脚本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2026年11月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小结：1-4月新技术研发无前置筹备工作，下半年将结合巡检工具运行数据，稳步推进技术调研、算法选型与开发落地。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0" w:name="_Toc19120"/>
      <w:bookmarkStart w:id="151" w:name="_Toc18068"/>
      <w:r>
        <w:t>资源使用情况</w:t>
      </w:r>
      <w:bookmarkEnd w:id="150"/>
      <w:bookmarkEnd w:id="15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2" w:name="_Toc31825"/>
      <w:bookmarkStart w:id="153" w:name="_Toc28853"/>
      <w:r>
        <w:t>人员投入</w:t>
      </w:r>
      <w:bookmarkEnd w:id="152"/>
      <w:bookmarkEnd w:id="15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2026年度研发专项编制共计4人，定岗分工、全年工时已提前核定，1-4月在岗全职投入研发工作，工时归集明细如下：</w:t>
      </w:r>
    </w:p>
    <w:tbl>
      <w:tblPr>
        <w:tblStyle w:val="TableNormal"/>
        <w:tblW w:w="875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2780"/>
        <w:gridCol w:w="1584"/>
        <w:gridCol w:w="1706"/>
        <w:gridCol w:w="1340"/>
      </w:tblGrid>
      <w:tr>
        <w:tblPrEx>
          <w:tblW w:w="875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27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158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年度计划投入</w:t>
            </w: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（月）</w:t>
            </w:r>
          </w:p>
        </w:tc>
        <w:tc>
          <w:tcPr>
            <w:tcW w:w="170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1-4月实际投入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姓名</w:t>
            </w:r>
          </w:p>
        </w:tc>
      </w:tr>
      <w:tr>
        <w:tblPrEx>
          <w:tblW w:w="87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研发部经理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研发负责人，负责需求分析、计划制定、进度跟踪、质量把控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12个月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4</w:t>
            </w:r>
            <w:r>
              <w:t>个月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黄正宇</w:t>
            </w:r>
          </w:p>
        </w:tc>
      </w:tr>
      <w:tr>
        <w:tblPrEx>
          <w:tblW w:w="87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负责自动化巡检和数据校验工具的研发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12个月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4</w:t>
            </w:r>
            <w:r>
              <w:t>个月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赵伟</w:t>
            </w:r>
          </w:p>
        </w:tc>
      </w:tr>
      <w:tr>
        <w:tblPrEx>
          <w:tblW w:w="87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技术支持工程师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负责智能告警优化和知识库检索功能开发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8个月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4</w:t>
            </w:r>
            <w:r>
              <w:t>个月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李强</w:t>
            </w:r>
          </w:p>
        </w:tc>
      </w:tr>
      <w:tr>
        <w:tblPrEx>
          <w:tblW w:w="87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测试工程师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负责功能测试和性能测试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6个月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4" w:name="_Toc18684"/>
      <w:bookmarkStart w:id="155" w:name="_Toc16883"/>
      <w:r>
        <w:t>资金投入</w:t>
      </w:r>
      <w:bookmarkEnd w:id="154"/>
      <w:bookmarkEnd w:id="15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2026年度研发专项批复总预算71.6万元，资金专款专用、财务单独台账核算，手册、新技术研发费用本期未发生支出，资金使用明细如下：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49"/>
        <w:gridCol w:w="3009"/>
        <w:gridCol w:w="1398"/>
        <w:gridCol w:w="1864"/>
        <w:gridCol w:w="150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00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投入项目</w:t>
            </w:r>
          </w:p>
        </w:tc>
        <w:tc>
          <w:tcPr>
            <w:tcW w:w="13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年度预算</w:t>
            </w:r>
          </w:p>
        </w:tc>
        <w:tc>
          <w:tcPr>
            <w:tcW w:w="186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1-4月实际支出</w:t>
            </w:r>
          </w:p>
        </w:tc>
        <w:tc>
          <w:tcPr>
            <w:tcW w:w="15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研发部经理人力成本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30万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10万元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研发工程师人力成本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18万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6万元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技术支持工程师人力成本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9.6万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3.2万元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测试工程师人力成本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2万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手册编写费用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新技术研发费用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7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设备及软件授权费用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0.7万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合计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right"/>
              <w:textAlignment w:val="baseline"/>
              <w:rPr>
                <w:b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b/>
                <w:lang w:val="en-US" w:eastAsia="zh-CN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71.6万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21.9万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30.6%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1-4月实际支出合计 21.9万元，占年度预算的30.6%，与时间进度（4/12≈33.3%）基本匹配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技术支持工程师和测试工程师1-4月已按实际投入计算（全年计划分别为8个月和6个月，1-4月均已投入）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手册编写和新技术研发按计划尚未启动，相关费用暂未发生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设备及软件授权费用按年度预算的1/3估算，实际以财务数据为准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6" w:name="_Toc6212"/>
      <w:bookmarkStart w:id="157" w:name="_Toc16391"/>
      <w:r>
        <w:t>场地与设备</w:t>
      </w:r>
      <w:bookmarkEnd w:id="156"/>
      <w:bookmarkEnd w:id="15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场地资源：全部研发工作依托公司现有办公场地开展，使用研发部专属办公区、专项评审会议室完成需求研讨、代码开发、集中评审工作，本年度无需新增租赁办公及研发场地，无场地租赁额外成本。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硬件资源：复用公司存量资产，配套研发设备共计：业务开发笔记本4台、开发测试服务器2台、数据库专项测试服务器2台、标准化研发环境1套、核心交换机1台。其中年度规划新增2台开发测试服务器，已于1月按期采购部署完毕，满足一期巡检工具全流程开发测试算力要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8" w:name="_Toc15559"/>
      <w:bookmarkStart w:id="159" w:name="_Toc3663"/>
      <w:r>
        <w:t>下阶段工作计划（5-8月）</w:t>
      </w:r>
      <w:bookmarkEnd w:id="158"/>
      <w:bookmarkEnd w:id="15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结合1-4月研发闭环进度、年度研发时序规划，锁定5-8月二期、三期工具开发、首期手册编写、工具试点试运行核心工作，责任归口研发部统一管控，节点如下：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0"/>
        <w:gridCol w:w="5134"/>
        <w:gridCol w:w="1448"/>
        <w:gridCol w:w="121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51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144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21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系统开发二期：数据完整性自动校验工具开发及测试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2026年5-6月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系统开发三期：智能告警优化和知识库智能检索功能开发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2026年7-8月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3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《自动化巡检工具操作手册》编写、内审、定稿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2026年5月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《数据完整性校验工具操作手册》编写、内审、定稿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2026年7月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0" w:name="_Toc12315"/>
      <w:r>
        <w:rPr>
          <w:rFonts w:hint="eastAsia"/>
          <w:lang w:val="en-US" w:eastAsia="zh-CN"/>
        </w:rPr>
        <w:t>过程管理报告</w:t>
      </w:r>
      <w:bookmarkEnd w:id="16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1" w:name="heading_58"/>
      <w:bookmarkStart w:id="162" w:name="_Toc12858"/>
      <w:r>
        <w:t>过程框架管理</w:t>
      </w:r>
      <w:bookmarkEnd w:id="161"/>
      <w:bookmarkEnd w:id="16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根据《运维服务过程框架管理制度》，公司运维服务过程框架分为服务规划与设计、服务部署与实施、服务运营与管理、服务监控与改进四个核心阶段，形成完整的PDCA闭环。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2026年1-4月，公司依据《运维服务过程框架管理制度》，持续完善运维服务过程框架相关管理制度。产品质量部按计划于年底组织年度过程框架评价，对各过程执行的符合性和有效性进行评估，1-4月尚未开展。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558"/>
        <w:gridCol w:w="1135"/>
        <w:gridCol w:w="850"/>
        <w:gridCol w:w="2273"/>
        <w:gridCol w:w="170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55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频度</w:t>
            </w:r>
          </w:p>
        </w:tc>
        <w:tc>
          <w:tcPr>
            <w:tcW w:w="227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1-4月状态</w:t>
            </w:r>
          </w:p>
        </w:tc>
        <w:tc>
          <w:tcPr>
            <w:tcW w:w="170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5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过程框架评价次数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≥1次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年度</w:t>
            </w:r>
          </w:p>
        </w:tc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按计划年底执行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3" w:name="heading_59"/>
      <w:bookmarkStart w:id="164" w:name="_Toc3335"/>
      <w:r>
        <w:t>服务级别管理</w:t>
      </w:r>
      <w:bookmarkEnd w:id="163"/>
      <w:bookmarkEnd w:id="16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根据《运维服务级别管理制度》，公司建立服务级别管理流程，对运维服务级别进行协商、监控和报告。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依据《运维服务级别管理制度》，对运维服务级别进行协商、监控和报告。运维部经理于2025年底组织年度SLA评审会议，对服务级别协议的执行情况进行全面评审，2026年第一季度SLA达成率为100%，达到目标值，本期SLA全流程执行合规、履约效果良好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97"/>
        <w:gridCol w:w="2164"/>
        <w:gridCol w:w="2435"/>
        <w:gridCol w:w="182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9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216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4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8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SLA达成率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≥95%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SLA评审次数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≥1次（年度）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按计划年底执行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按计划推进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5" w:name="heading_60"/>
      <w:bookmarkStart w:id="166" w:name="_Toc21012"/>
      <w:r>
        <w:t>服务报告管理</w:t>
      </w:r>
      <w:bookmarkEnd w:id="165"/>
      <w:bookmarkEnd w:id="16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根据《运维服务报告管理制度》，公司建立标准化的服务报告管理机制，确保服务报告的及时性、准确性和完整性。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依据《运维服务报告管理制度》，落地全流程标准化服务报告管理机制，按时编制提交日常运维日报周报、月度服务级别报告、一季度专项运维报告等各类制式文件。产品质量部每季度组织服务报告管理过程专项评审，从交付及时性、数据准确性、内容完整性、文本可读性、问题分析深度五大维度开展量化核验管控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816"/>
        <w:gridCol w:w="1526"/>
        <w:gridCol w:w="1654"/>
        <w:gridCol w:w="152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81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52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6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5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8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服务报告交付及时率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81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服务报告准确率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≥98%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7" w:name="heading_61"/>
      <w:bookmarkStart w:id="168" w:name="_Toc22466"/>
      <w:r>
        <w:t>事件管理</w:t>
      </w:r>
      <w:bookmarkEnd w:id="167"/>
      <w:bookmarkEnd w:id="16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根据《运维服务事件管理制度》，公司建立标准化的服务事件管理流程，确保事件能够快速响应和有效解决。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2026年1-4月，公司依据《运维服务事件管理制度》，闭环落地标准化事件处置流程，由服务台作为事件统一受理窗口，全天候7×24小时承接客户故障、业务异常、使用咨询等各类事件请求。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业务影响范围、故障紧急程度，将运维事件划分为一级重大事件、二级重要事件、三级一般事件，分级核定专属响应时长、闭环处置时长；超时未闭环事件严格执行层级升级、领导督办机制。事件办结后，服务台全员完成客户回访核验，确认处置效果、收集服务优化建议，同步归档工单及处置资料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67"/>
        <w:gridCol w:w="1047"/>
        <w:gridCol w:w="931"/>
        <w:gridCol w:w="931"/>
        <w:gridCol w:w="931"/>
        <w:gridCol w:w="931"/>
        <w:gridCol w:w="1136"/>
        <w:gridCol w:w="104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6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04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9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1月</w:t>
            </w:r>
          </w:p>
        </w:tc>
        <w:tc>
          <w:tcPr>
            <w:tcW w:w="9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2月</w:t>
            </w:r>
          </w:p>
        </w:tc>
        <w:tc>
          <w:tcPr>
            <w:tcW w:w="9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3月</w:t>
            </w:r>
          </w:p>
        </w:tc>
        <w:tc>
          <w:tcPr>
            <w:tcW w:w="9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4月</w:t>
            </w:r>
          </w:p>
        </w:tc>
        <w:tc>
          <w:tcPr>
            <w:tcW w:w="11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0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事件解决率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≥95%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一线解决率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≥70%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—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9" w:name="heading_62"/>
      <w:bookmarkStart w:id="170" w:name="_Toc2216"/>
      <w:r>
        <w:t>问题管理</w:t>
      </w:r>
      <w:bookmarkEnd w:id="169"/>
      <w:bookmarkEnd w:id="17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根据《运维服务问题管理制度》，公司建立问题管理流程，通过深挖高频、重大事件根本诱因，制定长效整改方案，规避同类故障重复发生，压降全域运维故障量。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依据《运维服务问题管理制度》，常态化联动事件管理、质量管控流程触发问题研判：针对诱因不明、高频复发、业务影响重大三类事件，启动专项问题复盘。复盘统一采用5W1H、鱼骨图、故障树标准化工具开展根本原因分析，整改完成后将标准化处置方案、预防流程录入运维知识库，完成组织经验沉淀，赋能一线运维作业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789"/>
        <w:gridCol w:w="1858"/>
        <w:gridCol w:w="2015"/>
        <w:gridCol w:w="186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78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8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0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85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78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问题解决率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≥90%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1" w:name="heading_63"/>
      <w:bookmarkStart w:id="172" w:name="_Toc11990"/>
      <w:r>
        <w:t>变更管理</w:t>
      </w:r>
      <w:bookmarkEnd w:id="171"/>
      <w:bookmarkEnd w:id="17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根据《运维服务变更管理制度》，公司建立全流程变更管控体系，对硬件改造、系统参数调整、软件迭代、权限变更等所有影响运维生产环境的变更动作，实行分级审批、风险前置管控。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严格落地变更分级管控机制，将全域运维变更划分为一般变更、重大变更、紧急变更三大类别，匹配差异化审批链路：常规低风险一般变更由运维部终审；重大业务变更、架构变更、核心数据库变更，由变更管理委员会联合评审决策；突发故障紧急变更开通加急审批通道，事后补齐变更台账。所有变更方案强制配套专项回退预案，明确回退触发条件、分步操作流程、权责人员、效果核验标准，保障变更可控可逆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789"/>
        <w:gridCol w:w="1858"/>
        <w:gridCol w:w="2015"/>
        <w:gridCol w:w="186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78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8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0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85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78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变更成功率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≥92%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3" w:name="heading_64"/>
      <w:bookmarkStart w:id="174" w:name="_Toc21914"/>
      <w:r>
        <w:t>发布管理</w:t>
      </w:r>
      <w:bookmarkEnd w:id="173"/>
      <w:bookmarkEnd w:id="17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根据《运维服务发布管理制度》，公司建立软硬件标准化发布管控流程，所有业务程序升级、硬件版本迭代、功能模块上线，必须前置全场景测试核验，有序合规落地发布作业，规避上线故障。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发布管理负责人联动研发、运维、质管三方，结合变更时序编制专项《发布实施方案》，方案必须配套应急回退细则；方案经跨部门评审签章通过后方可启动上线。正式发布前完成业务数据、程序包全域备份，上线后开展功能适配、业务联动、稳定性全维度核验，核验不合格即刻启动预案回退，闭环留存发布全流程台账资料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789"/>
        <w:gridCol w:w="1858"/>
        <w:gridCol w:w="2015"/>
        <w:gridCol w:w="186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78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8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0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85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78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发布成功率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5" w:name="heading_65"/>
      <w:bookmarkStart w:id="176" w:name="_Toc2449"/>
      <w:r>
        <w:t>配置管理</w:t>
      </w:r>
      <w:bookmarkEnd w:id="175"/>
      <w:bookmarkEnd w:id="17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根据《运维服务配置管理制度》，公司依托CMDB配置管理数据库，搭建全域资产配置管控体系，实现运维软硬件、台账、供应商、备件配置项全生命周期数字化管控。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细化配置权责分工：硬件运维工程师、软件运维工程师、备件库专员、行政专员分工负责对应品类配置项录入、更新、异动维护；全域配置项统一划分开发中、测试中、运行中、废弃四类状态，异动变更实时同步更新CMDB台账。产品质量部按月抽检配置台账，核对账实一致性，保障配置数据精准可用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353"/>
        <w:gridCol w:w="1676"/>
        <w:gridCol w:w="1817"/>
        <w:gridCol w:w="167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35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6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81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67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5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配置数据准确率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配置项覆盖率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7" w:name="heading_66"/>
      <w:bookmarkStart w:id="178" w:name="_Toc22613"/>
      <w:r>
        <w:t>可用性和连续性管理</w:t>
      </w:r>
      <w:bookmarkEnd w:id="177"/>
      <w:bookmarkEnd w:id="17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根据《服务可用性和连续性管理制度》，公司搭建业务可用性、应急连续性双线管控机制，依托监控平台全天候值守监测，保障核心业务、政企对接服务稳定不间断运行。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依托哈哈哈哈哈运维监控平台7×24小时抓取服务器、网络、数据库、前端业务设备运行参数，预设分级告警阈值，指标异常自动弹窗、短信双向告警。运维部按月复盘服务运行态势，更新业务连续性应急预案，一季度无主动业务中断、设备宕机事故发生，服务运行平稳可控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511"/>
        <w:gridCol w:w="2106"/>
        <w:gridCol w:w="2232"/>
        <w:gridCol w:w="167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5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210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23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1-4月实际</w:t>
            </w:r>
          </w:p>
        </w:tc>
        <w:tc>
          <w:tcPr>
            <w:tcW w:w="167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服务可用性达标率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≥99%（年度）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按计划年底评估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按计划推进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服务异常中断次数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≤2次（年度）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0次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9" w:name="heading_67"/>
      <w:bookmarkStart w:id="180" w:name="_Toc16829"/>
      <w:r>
        <w:t>容量管理</w:t>
      </w:r>
      <w:bookmarkEnd w:id="179"/>
      <w:bookmarkEnd w:id="18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根据《运维服务容量管理制度》，公司常态化开展全域IT资源容量研判管控，动态匹配业务增量算力、存储、带宽需求，提前化解资源瓶颈、过载运行风险。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容量管理覆盖服务器算力、虚拟机、存储磁盘、内网外网带宽、业务数据库、前端业务设备六大资源板块。运维部每月完成容量台账摸排、负载数据分析，编制月度容量研判报告，预判季度资源增量、负载峰值，提前报备扩容、调配计划，保障业务峰值时段资源供给充足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353"/>
        <w:gridCol w:w="1676"/>
        <w:gridCol w:w="1817"/>
        <w:gridCol w:w="167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35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6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81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167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容量报告及时性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1" w:name="heading_68"/>
      <w:bookmarkStart w:id="182" w:name="_Toc859"/>
      <w:r>
        <w:t>信息安全管理</w:t>
      </w:r>
      <w:bookmarkEnd w:id="181"/>
      <w:bookmarkEnd w:id="18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根据《运维服务信息安全管理制度》，公司恪守“统一规划、分级管理、积极防范、人人有责”安全方针，搭建全域运维信息安全防护体系，合规管控人员、设备、数据、网络全维度安全风险。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落地配套《信息安全管理规范》，细分人员准入离岗安全、系统访问权限、业务数据加密、机房物理安防、内网外网隔离、应急安全处置七大管控细则；定期开展内网漏洞扫描、权限复核、涉密数据巡检，严控外泄、篡改、入侵类安全风险。本年度截至4月，未发生合规类、泄密类、入侵类信息安全事故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511"/>
        <w:gridCol w:w="2106"/>
        <w:gridCol w:w="2232"/>
        <w:gridCol w:w="167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5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210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23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1-4月实际</w:t>
            </w:r>
          </w:p>
        </w:tc>
        <w:tc>
          <w:tcPr>
            <w:tcW w:w="167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安全培训覆盖率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≥95%（年度）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按计划年底执行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按计划推进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信息安全事故数量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≤1次（年度）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0次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3" w:name="_Toc2094"/>
      <w:r>
        <w:rPr>
          <w:rFonts w:hint="eastAsia"/>
          <w:lang w:val="en-US" w:eastAsia="zh-CN"/>
        </w:rPr>
        <w:t>交付管理报告</w:t>
      </w:r>
      <w:bookmarkEnd w:id="18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4" w:name="heading_70"/>
      <w:bookmarkStart w:id="185" w:name="_Toc4900"/>
      <w:r>
        <w:t>交付管理体系概述</w:t>
      </w:r>
      <w:bookmarkEnd w:id="184"/>
      <w:bookmarkEnd w:id="18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根据《运维服务交付管理制度》，公司采用PDCA循环管理模式，通过交付策划、交付实施、交付检查、交付改进四个核心环节，实现服务交付质量的闭环管控。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2026年1-4月，公司依据《运维服务交付管理制度》，持续推进交付管理各项工作。所有项目交付工作按计划推进，流程合规、资料完备，本期未出现交付不合格、项目返工、客户拒收交付成果等情况。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6" w:name="heading_71"/>
      <w:bookmarkStart w:id="187" w:name="_Toc674"/>
      <w:r>
        <w:t>关键绩效指标达成情况</w:t>
      </w:r>
      <w:bookmarkEnd w:id="186"/>
      <w:bookmarkEnd w:id="18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交付通过率目标值为≥95%，考核频度为年度。1-4月尚未到年度评定周期，按计划于2026年底统一开展全项目交付核验评估。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94"/>
        <w:gridCol w:w="1262"/>
        <w:gridCol w:w="946"/>
        <w:gridCol w:w="2525"/>
        <w:gridCol w:w="189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9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2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9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频度</w:t>
            </w:r>
          </w:p>
        </w:tc>
        <w:tc>
          <w:tcPr>
            <w:tcW w:w="25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1-4月状态</w:t>
            </w:r>
          </w:p>
        </w:tc>
        <w:tc>
          <w:tcPr>
            <w:tcW w:w="189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9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交付通过率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年度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按计划年底执行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8" w:name="heading_72"/>
      <w:bookmarkStart w:id="189" w:name="_Toc11509"/>
      <w:r>
        <w:t>交付管理工作执行情况</w:t>
      </w:r>
      <w:bookmarkEnd w:id="188"/>
      <w:bookmarkEnd w:id="18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2026年1-4月，交付管理PDCA全环节工作合规落地、时序达标，各项管控动作常态化执行：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交付策划：项目启动阶段联动客户召开专项项目交底会，书面敲定服务边界、分级SLA履约标准、甲乙双方常态化沟通机制、7×24应急联络链路；标准化编制《项目服务总计划》《运维服务交付计划》，明确阶段性交付里程碑、合规交付物、岗位权责、分级验收细则；配齐一线受理、二线处置、三线攻坚三级运维服务专班，固化岗位作业权责，前置规避交付权责模糊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交付实施：全员依托iTop运维工单平台统一承接、分派、闭环全域客户服务请求，全流程留痕可追溯；搭建SLA指标实时监控台账，每日归集服务响应时长、故障闭环时长、工单办结率等核心交付数据；严格执行周报、月报、季度专项报告报送机制，定期向甲方客户、公司管理层同步项目运维进度、服务成效、待协同事项，保障交付信息双向透明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交付检查：实行项目月度自查+部门季度抽查双检机制，运维项目经理按月完成所辖项目交付全流程自查，出具《项目交付自查报告》，自主整改流程瑕疵；产品质量部按季度抽查重点政企运维项目交付合规性，核查结果统一录入公司整改台账，闭环督办整改落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交付改进：归集项目自查、质管抽查、客户回访三类反馈问题，定期召开交付专项复盘会，研判问题根源、制定专项优化方案；验证整改成效后，将优化作业流程、标准化处置步骤、服务话术同步更新至运维作业手册、知识库，实现交付能力长效沉淀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0" w:name="heading_73"/>
      <w:bookmarkStart w:id="191" w:name="_Toc1483"/>
      <w:r>
        <w:t>应用成效总结</w:t>
      </w:r>
      <w:bookmarkEnd w:id="190"/>
      <w:bookmarkEnd w:id="19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交付管理体系闭环运行稳定，三级运维交付团队履职到位，全在管运维项目均按既定节点履约交付，无延期交付、交付成果不达标、客户投诉交付类问题。依托PDCA闭环管控模式，运维交付标准化程度持续提升，服务履约稳定性、客户合作认可度保持良好，为下半年大批量项目交付筑牢管理基础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92" w:name="_Toc27977"/>
      <w:r>
        <w:rPr>
          <w:rFonts w:hint="eastAsia"/>
          <w:lang w:val="en-US" w:eastAsia="zh-CN"/>
        </w:rPr>
        <w:t>应急管理报告</w:t>
      </w:r>
      <w:bookmarkEnd w:id="19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3" w:name="heading_75"/>
      <w:bookmarkStart w:id="194" w:name="_Toc13435"/>
      <w:r>
        <w:t>应急管理体系概述</w:t>
      </w:r>
      <w:bookmarkEnd w:id="193"/>
      <w:bookmarkEnd w:id="19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运维服务应急管理制度》，公司搭建权责清晰、资源联动、分级处置的一体化应急响应管理体系，覆盖预警、处置、恢复、复盘全流程，保障机房宕机、数据库故障、网络中断、前端设备批量异常等突发运维事件快速处置，最大限度降低业务停运影响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2026年1-4月，公司依据制度持续迭代应急组织架构、全域应急预案、跨部门联动机制，补齐2025年度应急短板，应急资源储备充足、响应链路通畅，整体应急管控体系适配现阶段业务运维风险场景。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5" w:name="heading_76"/>
      <w:bookmarkStart w:id="196" w:name="_Toc10960"/>
      <w:r>
        <w:t>关键绩效指标达成情况</w:t>
      </w:r>
      <w:bookmarkEnd w:id="195"/>
      <w:bookmarkEnd w:id="19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应急演练次数目标值为≥1次，考核频度为年度。结合业务运维淡季排布演练时序，1-4月未开展演练，计划于2026年6月开展综合实战演练、12月开展专项桌面推演，年度指标可控达标。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92"/>
        <w:gridCol w:w="1137"/>
        <w:gridCol w:w="852"/>
        <w:gridCol w:w="2834"/>
        <w:gridCol w:w="170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9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13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频度</w:t>
            </w:r>
          </w:p>
        </w:tc>
        <w:tc>
          <w:tcPr>
            <w:tcW w:w="28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1-4月状态</w:t>
            </w:r>
          </w:p>
        </w:tc>
        <w:tc>
          <w:tcPr>
            <w:tcW w:w="170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应急演练次数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≥1次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年度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按计划6月/12月执行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7" w:name="heading_77"/>
      <w:bookmarkStart w:id="198" w:name="_Toc6665"/>
      <w:r>
        <w:t>应急管理工作执行情况</w:t>
      </w:r>
      <w:bookmarkEnd w:id="197"/>
      <w:bookmarkEnd w:id="19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2026年1-4月，应急组织、预案、响应、演练、复盘五大模块工作有序落地，历史应急短板全部闭环整改：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组织搭建：固化三级应急组织架构，层级权责全覆盖：一是应急领导小组，由分管副总经理、运维部经理、研发部经理、产品质量部经理组成，负责重大应急事项决策、资源调拨、对外客诉对接；二是应急执行小组，由运维项目经理、软硬件运维工程师、一线技术支持组成，负责现场故障排查、业务应急恢复；三是应急支持小组，由综合部、备件库、采购专员组成，负责应急物资、备品备件、行政后勤保障。本期已完成全员应急通讯录更新核验，24小时联络通道全员备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预案优化：所有在管政企运维项目均配套专属专项应急预案，覆盖服务器宕机、数据库损坏、外网中断、前端业务设备故障、数据异常五大高频风险场景，预案内含权责分工、分级处置流程、联络清单、备件资源、业务回退全流程细则。2026年一季度已完成全量预案年度评审修订，针对2025年演练四大短板：备用服务器配置不统一、数据库恢复操作文档缺失细节、备用线路传输延迟偏高、应急备件领用审批链路冗长，已完成硬件配比整改、文档增补、线路优化、应急绿色通道改版，全部整改闭环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分级应急响应：标准化划分监测预警、先期处置、应急启动、攻坚处置、应急终止五阶段作业流程，明确时效红线：运维工程师收到平台告警、客户报障后15分钟内接单响应；普通故障30分钟内排查处置，重大业务故障30分钟无法恢复时，即刻逐级上报项目经理、分管副总，启动专项应急处置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演练排布：已审批下发2026年度应急演练专项计划，差异化排布演练场景：6月开展复合型实战演练，模拟服务器硬件损毁+业务数据库损坏+主干网络中断联动故障；12月开展桌面推演，模拟园区前端业务设备批量老化故障，提前磨合跨部门协同处置能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9" w:name="heading_78"/>
      <w:bookmarkStart w:id="200" w:name="_Toc31241"/>
      <w:r>
        <w:t>应用成效总结</w:t>
      </w:r>
      <w:bookmarkEnd w:id="199"/>
      <w:bookmarkEnd w:id="20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全域应急管理体系运行合规有效，三级应急团队分工明确、物资备件储备充足、预案贴合现场业务场景，往年应急遗留短板全部整改完毕。依托图云监控平台全天候风险预警，本期未发生达到应急启动等级的重大业务突发事件，无业务长时间停运、重大业务损失事项，整体应急值守、前置防控能力满足现阶段运维服务履约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1" w:name="_Toc7937"/>
      <w:r>
        <w:rPr>
          <w:rFonts w:hint="eastAsia"/>
          <w:lang w:val="en-US" w:eastAsia="zh-CN"/>
        </w:rPr>
        <w:t>质量管理报告</w:t>
      </w:r>
      <w:bookmarkEnd w:id="20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2" w:name="_Toc12645"/>
      <w:r>
        <w:t>概述</w:t>
      </w:r>
      <w:bookmarkEnd w:id="20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依据公司《运维服务质量管理制度》和《2026年度运维服务质量管理计划》（编号：HFSJ-ITSS-0419），对公司2026年1月至4月的质量管理活动进行阶段性总结报告。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本报告覆盖期间的质量管理活动主要包括：运维服务质量检查（组织级+项目级）、客户满意度调查、改进项处理、质量培训等。内审和管理评审按计划将在2026年10月-11月执行，暂不纳入本期报告范围。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3" w:name="_Toc17857"/>
      <w:r>
        <w:t>质量管理概况</w:t>
      </w:r>
      <w:bookmarkEnd w:id="20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产品质量部按照年度质量管理计划有序推进各项质量管理工作。运维部、研发部、综合部、采购部等相关部门协同配合，质量管理工作总体运行平稳，各项过程管控机制有效落地，持续保障公司运维服务质量稳定可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本期重点工作包括：完成第一季度（1-3月）组织级质量检查、常态化开展1-4月每月项目级质量检查、落地新员工质量入职培训、稳步推进年度重点质量改进事项落实，全面夯实前期运维服务质量管理基础。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4" w:name="_Toc30658"/>
      <w:r>
        <w:t>质量管理目标完成情况</w:t>
      </w:r>
      <w:bookmarkEnd w:id="20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依据2026年度质量管理计划中确定的质量目标和KPI指标，2026年1-4月各项运维服务指标阶段性完成情况如下：</w:t>
      </w:r>
    </w:p>
    <w:tbl>
      <w:tblPr>
        <w:tblStyle w:val="TableNormal"/>
        <w:tblW w:w="901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460"/>
        <w:gridCol w:w="1344"/>
        <w:gridCol w:w="2668"/>
        <w:gridCol w:w="1340"/>
        <w:gridCol w:w="1103"/>
      </w:tblGrid>
      <w:tr>
        <w:tblPrEx>
          <w:tblW w:w="901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分类</w:t>
            </w:r>
          </w:p>
        </w:tc>
        <w:tc>
          <w:tcPr>
            <w:tcW w:w="14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年度目标值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1-4月实际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完成评价</w:t>
            </w:r>
          </w:p>
        </w:tc>
      </w:tr>
      <w:tr>
        <w:tblPrEx>
          <w:tblW w:w="90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服务质量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运维服务SLA达成率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</w:t>
            </w:r>
          </w:p>
        </w:tc>
      </w:tr>
      <w:tr>
        <w:tblPrEx>
          <w:tblW w:w="90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服务质量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事件一次性解决率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≥85%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</w:t>
            </w:r>
          </w:p>
        </w:tc>
      </w:tr>
      <w:tr>
        <w:tblPrEx>
          <w:tblW w:w="90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客户满意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客户有效投诉次数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≤2次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0次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产品质量部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</w:t>
            </w:r>
          </w:p>
        </w:tc>
      </w:tr>
      <w:tr>
        <w:tblPrEx>
          <w:tblW w:w="90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过程质量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项目级质量检查覆盖率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100%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产品质量部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</w:t>
            </w:r>
          </w:p>
        </w:tc>
      </w:tr>
      <w:tr>
        <w:tblPrEx>
          <w:tblW w:w="90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改进闭环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不符合项按期关闭率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100%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产品质量部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注：组织级客户满意度调查按计划于2026年11月执行，本期暂不统计。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5" w:name="_Toc24430"/>
      <w:r>
        <w:t>质量管理保证工作总结</w:t>
      </w:r>
      <w:bookmarkEnd w:id="205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6" w:name="_Toc3727"/>
      <w:r>
        <w:t>运维服务质量检查</w:t>
      </w:r>
      <w:bookmarkEnd w:id="206"/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组织级质量检查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按照2026年度质量管理计划，产品质量部于2026年3月完成第一季度组织级质量检查工作，聚焦体系运行合规性与年度质量目标落地情况开展全面核查。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45"/>
        <w:gridCol w:w="1935"/>
        <w:gridCol w:w="3496"/>
        <w:gridCol w:w="194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4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检查时间</w:t>
            </w:r>
          </w:p>
        </w:tc>
        <w:tc>
          <w:tcPr>
            <w:tcW w:w="19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349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检查结果</w:t>
            </w:r>
          </w:p>
        </w:tc>
        <w:tc>
          <w:tcPr>
            <w:tcW w:w="19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输出物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能力计划执行情况、KPI达成情况、过程执行情况、交付物完整性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正常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《2026年Q1质量检查报告》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检查结论：第一季度组织级质量检查整体情况良好，各项检查内容均符合要求，未发现不符合项。各过程执行规范，交付物完整，KPI指标全部达标。</w:t>
      </w:r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项目级质量检查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2026年1-4月，产品质量部严格落实月度项目级质量检查机制，每月对全部在运运维项目开展常态化质量核查，严控项目交付过程质量，具体执行情况如下：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1438"/>
        <w:gridCol w:w="1438"/>
        <w:gridCol w:w="1117"/>
        <w:gridCol w:w="957"/>
        <w:gridCol w:w="285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14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检查项目数</w:t>
            </w:r>
          </w:p>
        </w:tc>
        <w:tc>
          <w:tcPr>
            <w:tcW w:w="14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发现问题数</w:t>
            </w:r>
          </w:p>
        </w:tc>
        <w:tc>
          <w:tcPr>
            <w:tcW w:w="111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已整改</w:t>
            </w:r>
          </w:p>
        </w:tc>
        <w:tc>
          <w:tcPr>
            <w:tcW w:w="95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关闭率</w:t>
            </w:r>
          </w:p>
        </w:tc>
        <w:tc>
          <w:tcPr>
            <w:tcW w:w="285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主要问题类型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1月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2月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3月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4月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-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累计情况：</w:t>
      </w:r>
      <w:r>
        <w:rPr>
          <w:rFonts w:hint="eastAsia"/>
          <w:lang w:val="en-US" w:eastAsia="zh-CN"/>
        </w:rPr>
        <w:t>2026年</w:t>
      </w:r>
      <w:r>
        <w:t>1-4月累计执行项目级质量检查</w:t>
      </w:r>
      <w:r>
        <w:rPr>
          <w:rFonts w:hint="eastAsia"/>
          <w:lang w:val="en-US" w:eastAsia="zh-CN"/>
        </w:rPr>
        <w:t>4</w:t>
      </w:r>
      <w:r>
        <w:t>次，覆盖</w:t>
      </w:r>
      <w:r>
        <w:rPr>
          <w:rFonts w:hint="eastAsia"/>
          <w:lang w:val="en-US" w:eastAsia="zh-CN"/>
        </w:rPr>
        <w:t>3</w:t>
      </w:r>
      <w:r>
        <w:t>个在运项目，累计发现问题</w:t>
      </w:r>
      <w:r>
        <w:rPr>
          <w:rFonts w:hint="eastAsia"/>
          <w:lang w:val="en-US" w:eastAsia="zh-CN"/>
        </w:rPr>
        <w:t>0</w:t>
      </w:r>
      <w:r>
        <w:t>项。。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7" w:name="_Toc28970"/>
      <w:r>
        <w:t>客户满意度调查</w:t>
      </w:r>
      <w:bookmarkEnd w:id="20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按照2026年度质量管理计划，本期暂未开展年度组织级客户满意度调查，重点落地日常事件回访、投诉回访及项目级满意度核查，全面把控阶段性客户服务体验，具体情况如下：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43"/>
        <w:gridCol w:w="1265"/>
        <w:gridCol w:w="3172"/>
        <w:gridCol w:w="244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调查类型</w:t>
            </w:r>
          </w:p>
        </w:tc>
        <w:tc>
          <w:tcPr>
            <w:tcW w:w="12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调查方式</w:t>
            </w:r>
          </w:p>
        </w:tc>
        <w:tc>
          <w:tcPr>
            <w:tcW w:w="31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执行情况</w:t>
            </w:r>
          </w:p>
        </w:tc>
        <w:tc>
          <w:tcPr>
            <w:tcW w:w="244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调查结果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事件解决满意度回访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电话回访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1-4月共回访</w:t>
            </w:r>
            <w:r>
              <w:rPr>
                <w:rFonts w:hint="eastAsia"/>
                <w:lang w:val="en-US" w:eastAsia="zh-CN"/>
              </w:rPr>
              <w:t>2</w:t>
            </w:r>
            <w:r>
              <w:t>起事件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满意度100%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投诉处理满意度回访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电话回访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t>1-4月</w:t>
            </w:r>
            <w:r>
              <w:rPr>
                <w:rFonts w:hint="eastAsia"/>
                <w:lang w:val="en-US" w:eastAsia="zh-CN"/>
              </w:rPr>
              <w:t>没有客户投诉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项目级满意度调查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走访/电访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1-4月完成</w:t>
            </w:r>
            <w:r>
              <w:rPr>
                <w:rFonts w:hint="eastAsia"/>
                <w:lang w:val="en-US" w:eastAsia="zh-CN"/>
              </w:rPr>
              <w:t>3</w:t>
            </w:r>
            <w:r>
              <w:t>个项目的中期/回访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满意度100%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注：组织级客户满意度调查按计划于2026年11月执行，本期暂不开展。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8" w:name="_Toc21007"/>
      <w:r>
        <w:rPr>
          <w:rFonts w:hint="eastAsia"/>
          <w:lang w:val="en-US" w:eastAsia="zh-CN"/>
        </w:rPr>
        <w:t>内审和管评</w:t>
      </w:r>
      <w:bookmarkEnd w:id="20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期内（2026年1-4月）内审和管理评审工作尚未启动。产品质量部将按照年度计划，于2026年第三季度提前启动内审准备工作（包括内审小组成立、内审计划制定、检查表编制等），确保10月-11月内审和管理评审工作按期、规范完成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9" w:name="_Toc19251"/>
      <w:r>
        <w:t>质量培训</w:t>
      </w:r>
      <w:bookmarkEnd w:id="20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2026年1-4月，产品质量部联合综合部，结合年度培训计划及人员入职情况，有序开展质量专项培训，强化全员质量意识与流程合规能力，具体执行情况如下：</w:t>
      </w:r>
    </w:p>
    <w:tbl>
      <w:tblPr>
        <w:tblStyle w:val="TableNormal"/>
        <w:tblW w:w="73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78"/>
        <w:gridCol w:w="1676"/>
        <w:gridCol w:w="2722"/>
        <w:gridCol w:w="1549"/>
      </w:tblGrid>
      <w:tr>
        <w:tblPrEx>
          <w:tblW w:w="732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培训类型</w:t>
            </w:r>
          </w:p>
        </w:tc>
        <w:tc>
          <w:tcPr>
            <w:tcW w:w="16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培训时间</w:t>
            </w:r>
          </w:p>
        </w:tc>
        <w:tc>
          <w:tcPr>
            <w:tcW w:w="272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154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培训效果</w:t>
            </w:r>
          </w:p>
        </w:tc>
      </w:tr>
      <w:tr>
        <w:tblPrEx>
          <w:tblW w:w="732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新员工质量培训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质量管理制度、质量方针、流程规范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考核合格率100%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按年度计划，专项质量培训、内审员培训、全员质量意识培训将在后续5-12月陆续开展，持续完善全员质量培训体系，提升团队质量管理专业能力。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0" w:name="_Toc10880"/>
      <w:r>
        <w:t>客户投诉情况</w:t>
      </w:r>
      <w:bookmarkEnd w:id="2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2026年1-4月，公司运维服务业务平稳运行，</w:t>
      </w:r>
      <w:r>
        <w:rPr>
          <w:rFonts w:hint="eastAsia"/>
          <w:lang w:val="en-US" w:eastAsia="zh-CN"/>
        </w:rPr>
        <w:t>没有</w:t>
      </w:r>
      <w:r>
        <w:t>收到客户有效投诉，低于年度≤2次的管控目标，客户整体服务体验良好。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semiHidden/>
    <w:unhideWhenUsed/>
    <w:qFormat/>
    <w:rPr>
      <w:rFonts w:ascii="Arial" w:eastAsia="黑体" w:hAnsi="Arial"/>
      <w:sz w:val="20"/>
    </w:r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2685</Words>
  <Characters>3168</Characters>
  <Application>Microsoft Office Word</Application>
  <DocSecurity>0</DocSecurity>
  <Lines>0</Lines>
  <Paragraphs>0</Paragraphs>
  <ScaleCrop>false</ScaleCrop>
  <Company/>
  <LinksUpToDate>false</LinksUpToDate>
  <CharactersWithSpaces>3340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2026-06-09T17:33:07Z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