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pPr>
        <w:pStyle w:val="a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2025年度内审报告</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HFSJ-ITSS-0412</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熊振翔</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2025.12.16</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2025.12.16</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2025.12.16</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2025.12.16</w:t>
            </w:r>
          </w:p>
        </w:tc>
      </w:tr>
    </w:tbl>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1"/>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2025.12.16</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熊振翔</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83193"/>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spacing w:before="0" w:beforeLines="0" w:after="0" w:afterLines="0" w:line="240" w:lineRule="auto"/>
            <w:ind w:left="0" w:right="0" w:firstLine="0" w:leftChars="0" w:rightChars="0" w:firstLineChars="0"/>
            <w:jc w:val="center"/>
          </w:pPr>
          <w:bookmarkStart w:id="1" w:name="heading_2"/>
          <w:r>
            <w:rPr>
              <w:rFonts w:ascii="宋体" w:eastAsia="宋体" w:hAnsi="宋体"/>
              <w:sz w:val="21"/>
            </w:rPr>
            <w:t>目录</w:t>
          </w:r>
        </w:p>
        <w:p>
          <w:pPr>
            <w:pStyle w:val="TOC1"/>
            <w:tabs>
              <w:tab w:val="right" w:leader="dot" w:pos="8306"/>
            </w:tabs>
          </w:pPr>
          <w:bookmarkStart w:id="2" w:name="_GoBack"/>
          <w:bookmarkEnd w:id="2"/>
          <w:r>
            <w:fldChar w:fldCharType="begin"/>
          </w:r>
          <w:r>
            <w:instrText xml:space="preserve">TOC \o "1-3" \h \u </w:instrText>
          </w:r>
          <w:r>
            <w:fldChar w:fldCharType="separate"/>
          </w:r>
          <w:r>
            <w:fldChar w:fldCharType="begin"/>
          </w:r>
          <w:r>
            <w:instrText xml:space="preserve"> HYPERLINK \l _Toc28668 </w:instrText>
          </w:r>
          <w:r>
            <w:fldChar w:fldCharType="separate"/>
          </w:r>
          <w:r>
            <w:rPr>
              <w:rFonts w:hint="default"/>
            </w:rPr>
            <w:t xml:space="preserve">1. </w:t>
          </w:r>
          <w:r>
            <w:t>审核目的</w:t>
          </w:r>
          <w:r>
            <w:tab/>
          </w:r>
          <w:r>
            <w:fldChar w:fldCharType="begin"/>
          </w:r>
          <w:r>
            <w:instrText xml:space="preserve"> PAGEREF _Toc28668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_Toc24665 </w:instrText>
          </w:r>
          <w:r>
            <w:fldChar w:fldCharType="separate"/>
          </w:r>
          <w:r>
            <w:rPr>
              <w:rFonts w:hint="default"/>
            </w:rPr>
            <w:t xml:space="preserve">2. </w:t>
          </w:r>
          <w:r>
            <w:t>审核准则</w:t>
          </w:r>
          <w:r>
            <w:tab/>
          </w:r>
          <w:r>
            <w:fldChar w:fldCharType="begin"/>
          </w:r>
          <w:r>
            <w:instrText xml:space="preserve"> PAGEREF _Toc24665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_Toc14699 </w:instrText>
          </w:r>
          <w:r>
            <w:fldChar w:fldCharType="separate"/>
          </w:r>
          <w:r>
            <w:rPr>
              <w:rFonts w:hint="default"/>
            </w:rPr>
            <w:t xml:space="preserve">3. </w:t>
          </w:r>
          <w:r>
            <w:t>审核范围</w:t>
          </w:r>
          <w:r>
            <w:tab/>
          </w:r>
          <w:r>
            <w:fldChar w:fldCharType="begin"/>
          </w:r>
          <w:r>
            <w:instrText xml:space="preserve"> PAGEREF _Toc14699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_Toc10408 </w:instrText>
          </w:r>
          <w:r>
            <w:fldChar w:fldCharType="separate"/>
          </w:r>
          <w:r>
            <w:rPr>
              <w:rFonts w:hint="default"/>
            </w:rPr>
            <w:t xml:space="preserve">4. </w:t>
          </w:r>
          <w:r>
            <w:t>审核时间</w:t>
          </w:r>
          <w:r>
            <w:tab/>
          </w:r>
          <w:r>
            <w:fldChar w:fldCharType="begin"/>
          </w:r>
          <w:r>
            <w:instrText xml:space="preserve"> PAGEREF _Toc10408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_Toc16581 </w:instrText>
          </w:r>
          <w:r>
            <w:fldChar w:fldCharType="separate"/>
          </w:r>
          <w:r>
            <w:rPr>
              <w:rFonts w:hint="default"/>
            </w:rPr>
            <w:t xml:space="preserve">5. </w:t>
          </w:r>
          <w:r>
            <w:t>审核组成员</w:t>
          </w:r>
          <w:r>
            <w:tab/>
          </w:r>
          <w:r>
            <w:fldChar w:fldCharType="begin"/>
          </w:r>
          <w:r>
            <w:instrText xml:space="preserve"> PAGEREF _Toc16581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_Toc1886 </w:instrText>
          </w:r>
          <w:r>
            <w:fldChar w:fldCharType="separate"/>
          </w:r>
          <w:r>
            <w:rPr>
              <w:rFonts w:hint="default"/>
            </w:rPr>
            <w:t xml:space="preserve">6. </w:t>
          </w:r>
          <w:r>
            <w:t>审核结果</w:t>
          </w:r>
          <w:r>
            <w:tab/>
          </w:r>
          <w:r>
            <w:fldChar w:fldCharType="begin"/>
          </w:r>
          <w:r>
            <w:instrText xml:space="preserve"> PAGEREF _Toc1886 \h </w:instrText>
          </w:r>
          <w:r>
            <w:fldChar w:fldCharType="separate"/>
          </w:r>
          <w:r>
            <w:t>4</w:t>
          </w:r>
          <w:r>
            <w:fldChar w:fldCharType="end"/>
          </w:r>
          <w:r>
            <w:fldChar w:fldCharType="end"/>
          </w:r>
        </w:p>
        <w:p>
          <w:pPr>
            <w:pStyle w:val="TOC2"/>
            <w:tabs>
              <w:tab w:val="right" w:leader="dot" w:pos="8306"/>
            </w:tabs>
          </w:pPr>
          <w:r>
            <w:fldChar w:fldCharType="begin"/>
          </w:r>
          <w:r>
            <w:instrText xml:space="preserve"> HYPERLINK \l _Toc1397 </w:instrText>
          </w:r>
          <w:r>
            <w:fldChar w:fldCharType="separate"/>
          </w:r>
          <w:r>
            <w:rPr>
              <w:rFonts w:hint="default"/>
            </w:rPr>
            <w:t xml:space="preserve">6.1. </w:t>
          </w:r>
          <w:r>
            <w:t>审核概况</w:t>
          </w:r>
          <w:r>
            <w:tab/>
          </w:r>
          <w:r>
            <w:fldChar w:fldCharType="begin"/>
          </w:r>
          <w:r>
            <w:instrText xml:space="preserve"> PAGEREF _Toc1397 \h </w:instrText>
          </w:r>
          <w:r>
            <w:fldChar w:fldCharType="separate"/>
          </w:r>
          <w:r>
            <w:t>4</w:t>
          </w:r>
          <w:r>
            <w:fldChar w:fldCharType="end"/>
          </w:r>
          <w:r>
            <w:fldChar w:fldCharType="end"/>
          </w:r>
        </w:p>
        <w:p>
          <w:pPr>
            <w:pStyle w:val="TOC2"/>
            <w:tabs>
              <w:tab w:val="right" w:leader="dot" w:pos="8306"/>
            </w:tabs>
          </w:pPr>
          <w:r>
            <w:fldChar w:fldCharType="begin"/>
          </w:r>
          <w:r>
            <w:instrText xml:space="preserve"> HYPERLINK \l _Toc22909 </w:instrText>
          </w:r>
          <w:r>
            <w:fldChar w:fldCharType="separate"/>
          </w:r>
          <w:r>
            <w:rPr>
              <w:rFonts w:hint="default"/>
            </w:rPr>
            <w:t xml:space="preserve">6.2. </w:t>
          </w:r>
          <w:r>
            <w:t>不符合项统计及分析</w:t>
          </w:r>
          <w:r>
            <w:tab/>
          </w:r>
          <w:r>
            <w:fldChar w:fldCharType="begin"/>
          </w:r>
          <w:r>
            <w:instrText xml:space="preserve"> PAGEREF _Toc22909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_Toc26280 </w:instrText>
          </w:r>
          <w:r>
            <w:fldChar w:fldCharType="separate"/>
          </w:r>
          <w:r>
            <w:rPr>
              <w:rFonts w:hint="default"/>
            </w:rPr>
            <w:t xml:space="preserve">7. </w:t>
          </w:r>
          <w:r>
            <w:t>运维服务能力管理体系评价</w:t>
          </w:r>
          <w:r>
            <w:tab/>
          </w:r>
          <w:r>
            <w:fldChar w:fldCharType="begin"/>
          </w:r>
          <w:r>
            <w:instrText xml:space="preserve"> PAGEREF _Toc26280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_Toc1746 </w:instrText>
          </w:r>
          <w:r>
            <w:fldChar w:fldCharType="separate"/>
          </w:r>
          <w:r>
            <w:rPr>
              <w:rFonts w:hint="default"/>
            </w:rPr>
            <w:t xml:space="preserve">8. </w:t>
          </w:r>
          <w:r>
            <w:t>纠正措施</w:t>
          </w:r>
          <w:r>
            <w:tab/>
          </w:r>
          <w:r>
            <w:fldChar w:fldCharType="begin"/>
          </w:r>
          <w:r>
            <w:instrText xml:space="preserve"> PAGEREF _Toc1746 \h </w:instrText>
          </w:r>
          <w:r>
            <w:fldChar w:fldCharType="separate"/>
          </w:r>
          <w:r>
            <w:t>5</w:t>
          </w:r>
          <w:r>
            <w:fldChar w:fldCharType="end"/>
          </w:r>
          <w:r>
            <w:fldChar w:fldCharType="end"/>
          </w:r>
        </w:p>
        <w:p>
          <w:r>
            <w:fldChar w:fldCharType="end"/>
          </w:r>
        </w:p>
      </w:sdtContent>
    </w:sdt>
    <w:p/>
    <w:p>
      <w:pPr>
        <w:pStyle w:val="a1"/>
        <w:bidi w:val="0"/>
      </w:pPr>
      <w:r>
        <w:br w:type="page"/>
      </w:r>
    </w:p>
    <w:p>
      <w:pPr>
        <w:pStyle w:val="1"/>
        <w:numPr>
          <w:ilvl w:val="0"/>
          <w:numId w:val="2"/>
        </w:numPr>
        <w:bidi w:val="0"/>
      </w:pPr>
      <w:bookmarkStart w:id="3" w:name="_Toc28668"/>
      <w:r>
        <w:t>审核目的</w:t>
      </w:r>
      <w:bookmarkEnd w:id="1"/>
      <w:bookmarkEnd w:id="3"/>
    </w:p>
    <w:p>
      <w:pPr>
        <w:pStyle w:val="a1"/>
        <w:bidi w:val="0"/>
      </w:pPr>
      <w:r>
        <w:t>检查公司运维服务能力管理体系是否符合审核准则的要求，是否能通过管理体系有效实现目标，识别改进点，促进组织内部管理的有效性。</w:t>
      </w:r>
    </w:p>
    <w:p>
      <w:pPr>
        <w:pStyle w:val="1"/>
        <w:numPr>
          <w:ilvl w:val="0"/>
          <w:numId w:val="2"/>
        </w:numPr>
        <w:bidi w:val="0"/>
      </w:pPr>
      <w:bookmarkStart w:id="4" w:name="heading_3"/>
      <w:bookmarkStart w:id="5" w:name="_Toc24665"/>
      <w:r>
        <w:t>审核准则</w:t>
      </w:r>
      <w:bookmarkEnd w:id="4"/>
      <w:bookmarkEnd w:id="5"/>
    </w:p>
    <w:p>
      <w:pPr>
        <w:pStyle w:val="a3"/>
        <w:numPr>
          <w:ilvl w:val="0"/>
          <w:numId w:val="3"/>
        </w:numPr>
        <w:bidi w:val="0"/>
        <w:ind w:left="425" w:hanging="425" w:leftChars="0" w:firstLineChars="0"/>
      </w:pPr>
      <w:r>
        <w:t>相关法律法规、行业标准和客户服务要求</w:t>
      </w:r>
    </w:p>
    <w:p>
      <w:pPr>
        <w:pStyle w:val="a3"/>
        <w:numPr>
          <w:ilvl w:val="0"/>
          <w:numId w:val="3"/>
        </w:numPr>
        <w:bidi w:val="0"/>
        <w:ind w:left="425" w:hanging="425" w:leftChars="0" w:firstLineChars="0"/>
      </w:pPr>
      <w:r>
        <w:t>公司运维服务体系文件和关键指标</w:t>
      </w:r>
    </w:p>
    <w:p>
      <w:pPr>
        <w:pStyle w:val="a3"/>
        <w:numPr>
          <w:ilvl w:val="0"/>
          <w:numId w:val="3"/>
        </w:numPr>
        <w:bidi w:val="0"/>
        <w:ind w:left="425" w:hanging="425" w:leftChars="0" w:firstLineChars="0"/>
      </w:pPr>
      <w:r>
        <w:rPr>
          <w:rFonts w:hint="eastAsia"/>
          <w:lang w:val="en-US" w:eastAsia="zh-CN"/>
        </w:rPr>
        <w:t>TCESA1299-2023《信息技术服务 运行维护服务能力成熟度模型》</w:t>
      </w:r>
    </w:p>
    <w:p>
      <w:pPr>
        <w:pStyle w:val="a3"/>
        <w:numPr>
          <w:ilvl w:val="0"/>
          <w:numId w:val="3"/>
        </w:numPr>
        <w:bidi w:val="0"/>
        <w:ind w:left="425" w:hanging="425" w:leftChars="0" w:firstLineChars="0"/>
      </w:pPr>
      <w:r>
        <w:t>GB/T 28827.1-2022《信息技术服务 运行维护 第1部分：通用要求》</w:t>
      </w:r>
    </w:p>
    <w:p>
      <w:pPr>
        <w:pStyle w:val="1"/>
        <w:numPr>
          <w:ilvl w:val="0"/>
          <w:numId w:val="2"/>
        </w:numPr>
        <w:bidi w:val="0"/>
      </w:pPr>
      <w:bookmarkStart w:id="6" w:name="heading_4"/>
      <w:bookmarkStart w:id="7" w:name="_Toc14699"/>
      <w:r>
        <w:t>审核范围</w:t>
      </w:r>
      <w:bookmarkEnd w:id="6"/>
      <w:bookmarkEnd w:id="7"/>
    </w:p>
    <w:p>
      <w:pPr>
        <w:pStyle w:val="a1"/>
        <w:bidi w:val="0"/>
      </w:pPr>
      <w:r>
        <w:t>对运维服务体系能力、过程、技术、人员、资源</w:t>
      </w:r>
      <w:r>
        <w:rPr>
          <w:rFonts w:hint="eastAsia"/>
          <w:lang w:eastAsia="zh-CN"/>
        </w:rPr>
        <w:t>、</w:t>
      </w:r>
      <w:r>
        <w:rPr>
          <w:rFonts w:hint="eastAsia"/>
          <w:lang w:val="en-US" w:eastAsia="zh-CN"/>
        </w:rPr>
        <w:t>交付和应急</w:t>
      </w:r>
      <w:r>
        <w:t>等计划的执行情况进行审核。</w:t>
      </w:r>
    </w:p>
    <w:p>
      <w:pPr>
        <w:pStyle w:val="1"/>
        <w:numPr>
          <w:ilvl w:val="0"/>
          <w:numId w:val="2"/>
        </w:numPr>
        <w:bidi w:val="0"/>
      </w:pPr>
      <w:bookmarkStart w:id="8" w:name="heading_5"/>
      <w:bookmarkStart w:id="9" w:name="_Toc10408"/>
      <w:r>
        <w:t>审核时间</w:t>
      </w:r>
      <w:bookmarkEnd w:id="8"/>
      <w:bookmarkEnd w:id="9"/>
    </w:p>
    <w:p>
      <w:pPr>
        <w:pStyle w:val="a1"/>
        <w:bidi w:val="0"/>
      </w:pPr>
      <w:r>
        <w:t>2025年1</w:t>
      </w:r>
      <w:r>
        <w:rPr>
          <w:rFonts w:hint="eastAsia"/>
          <w:lang w:val="en-US" w:eastAsia="zh-CN"/>
        </w:rPr>
        <w:t>2</w:t>
      </w:r>
      <w:r>
        <w:t>月15日 - 2025年1</w:t>
      </w:r>
      <w:r>
        <w:rPr>
          <w:rFonts w:hint="eastAsia"/>
          <w:lang w:val="en-US" w:eastAsia="zh-CN"/>
        </w:rPr>
        <w:t>2</w:t>
      </w:r>
      <w:r>
        <w:t>月16日，共2天。</w:t>
      </w:r>
    </w:p>
    <w:p>
      <w:pPr>
        <w:pStyle w:val="1"/>
        <w:numPr>
          <w:ilvl w:val="0"/>
          <w:numId w:val="2"/>
        </w:numPr>
        <w:bidi w:val="0"/>
      </w:pPr>
      <w:bookmarkStart w:id="10" w:name="heading_6"/>
      <w:bookmarkStart w:id="11" w:name="_Toc16581"/>
      <w:r>
        <w:t>审核组成员</w:t>
      </w:r>
      <w:bookmarkEnd w:id="10"/>
      <w:bookmarkEnd w:id="11"/>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973"/>
        <w:gridCol w:w="1296"/>
        <w:gridCol w:w="1943"/>
        <w:gridCol w:w="2594"/>
        <w:gridCol w:w="1716"/>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973"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序号</w:t>
            </w:r>
          </w:p>
        </w:tc>
        <w:tc>
          <w:tcPr>
            <w:tcW w:w="1296"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姓名</w:t>
            </w:r>
          </w:p>
        </w:tc>
        <w:tc>
          <w:tcPr>
            <w:tcW w:w="1943"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工作部门</w:t>
            </w:r>
          </w:p>
        </w:tc>
        <w:tc>
          <w:tcPr>
            <w:tcW w:w="2594"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岗位</w:t>
            </w:r>
          </w:p>
        </w:tc>
        <w:tc>
          <w:tcPr>
            <w:tcW w:w="1716"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职务/职称</w:t>
            </w:r>
          </w:p>
        </w:tc>
      </w:tr>
      <w:tr>
        <w:tblPrEx>
          <w:tblW w:w="8522" w:type="dxa"/>
          <w:jc w:val="center"/>
          <w:tblCellMar>
            <w:top w:w="0" w:type="dxa"/>
            <w:left w:w="10" w:type="dxa"/>
            <w:bottom w:w="0" w:type="dxa"/>
            <w:right w:w="10" w:type="dxa"/>
          </w:tblCellMar>
        </w:tblPrEx>
        <w:trPr>
          <w:trHeight w:val="0"/>
          <w:jc w:val="center"/>
        </w:trPr>
        <w:tc>
          <w:tcPr>
            <w:tcW w:w="973"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1</w:t>
            </w:r>
          </w:p>
        </w:tc>
        <w:tc>
          <w:tcPr>
            <w:tcW w:w="1296"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黄文广</w:t>
            </w:r>
          </w:p>
        </w:tc>
        <w:tc>
          <w:tcPr>
            <w:tcW w:w="194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管理层</w:t>
            </w:r>
          </w:p>
        </w:tc>
        <w:tc>
          <w:tcPr>
            <w:tcW w:w="259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总经理</w:t>
            </w:r>
          </w:p>
        </w:tc>
        <w:tc>
          <w:tcPr>
            <w:tcW w:w="171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内审组长</w:t>
            </w:r>
          </w:p>
        </w:tc>
      </w:tr>
      <w:tr>
        <w:tblPrEx>
          <w:tblW w:w="8522" w:type="dxa"/>
          <w:jc w:val="center"/>
          <w:tblCellMar>
            <w:top w:w="0" w:type="dxa"/>
            <w:left w:w="10" w:type="dxa"/>
            <w:bottom w:w="0" w:type="dxa"/>
            <w:right w:w="10" w:type="dxa"/>
          </w:tblCellMar>
        </w:tblPrEx>
        <w:trPr>
          <w:trHeight w:val="0"/>
          <w:jc w:val="center"/>
        </w:trPr>
        <w:tc>
          <w:tcPr>
            <w:tcW w:w="973"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2</w:t>
            </w:r>
          </w:p>
        </w:tc>
        <w:tc>
          <w:tcPr>
            <w:tcW w:w="1296"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黄剑锋</w:t>
            </w:r>
          </w:p>
        </w:tc>
        <w:tc>
          <w:tcPr>
            <w:tcW w:w="194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rFonts w:eastAsia="宋体" w:hint="eastAsia"/>
                <w:lang w:eastAsia="zh-CN"/>
              </w:rPr>
            </w:pPr>
            <w:r>
              <w:rPr>
                <w:rFonts w:hint="eastAsia"/>
                <w:lang w:val="en-US" w:eastAsia="zh-CN"/>
              </w:rPr>
              <w:t>管理层</w:t>
            </w:r>
          </w:p>
        </w:tc>
        <w:tc>
          <w:tcPr>
            <w:tcW w:w="259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管理者代表</w:t>
            </w:r>
          </w:p>
        </w:tc>
        <w:tc>
          <w:tcPr>
            <w:tcW w:w="171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内审组员</w:t>
            </w:r>
          </w:p>
        </w:tc>
      </w:tr>
      <w:tr>
        <w:tblPrEx>
          <w:tblW w:w="8522" w:type="dxa"/>
          <w:jc w:val="center"/>
          <w:tblCellMar>
            <w:top w:w="0" w:type="dxa"/>
            <w:left w:w="10" w:type="dxa"/>
            <w:bottom w:w="0" w:type="dxa"/>
            <w:right w:w="10" w:type="dxa"/>
          </w:tblCellMar>
        </w:tblPrEx>
        <w:trPr>
          <w:trHeight w:val="0"/>
          <w:jc w:val="center"/>
        </w:trPr>
        <w:tc>
          <w:tcPr>
            <w:tcW w:w="973"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3</w:t>
            </w:r>
          </w:p>
        </w:tc>
        <w:tc>
          <w:tcPr>
            <w:tcW w:w="1296"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姚耿桂</w:t>
            </w:r>
          </w:p>
        </w:tc>
        <w:tc>
          <w:tcPr>
            <w:tcW w:w="194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运维部</w:t>
            </w:r>
          </w:p>
        </w:tc>
        <w:tc>
          <w:tcPr>
            <w:tcW w:w="259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运维部经理</w:t>
            </w:r>
          </w:p>
        </w:tc>
        <w:tc>
          <w:tcPr>
            <w:tcW w:w="171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内审组员</w:t>
            </w:r>
          </w:p>
        </w:tc>
      </w:tr>
      <w:tr>
        <w:tblPrEx>
          <w:tblW w:w="8522" w:type="dxa"/>
          <w:jc w:val="center"/>
          <w:tblCellMar>
            <w:top w:w="0" w:type="dxa"/>
            <w:left w:w="10" w:type="dxa"/>
            <w:bottom w:w="0" w:type="dxa"/>
            <w:right w:w="10" w:type="dxa"/>
          </w:tblCellMar>
        </w:tblPrEx>
        <w:trPr>
          <w:trHeight w:val="0"/>
          <w:jc w:val="center"/>
        </w:trPr>
        <w:tc>
          <w:tcPr>
            <w:tcW w:w="973"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4</w:t>
            </w:r>
          </w:p>
        </w:tc>
        <w:tc>
          <w:tcPr>
            <w:tcW w:w="1296"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黄正宇</w:t>
            </w:r>
          </w:p>
        </w:tc>
        <w:tc>
          <w:tcPr>
            <w:tcW w:w="194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研发部</w:t>
            </w:r>
          </w:p>
        </w:tc>
        <w:tc>
          <w:tcPr>
            <w:tcW w:w="259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研发部经理</w:t>
            </w:r>
          </w:p>
        </w:tc>
        <w:tc>
          <w:tcPr>
            <w:tcW w:w="171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内审组员</w:t>
            </w:r>
          </w:p>
        </w:tc>
      </w:tr>
      <w:tr>
        <w:tblPrEx>
          <w:tblW w:w="8522" w:type="dxa"/>
          <w:jc w:val="center"/>
          <w:tblCellMar>
            <w:top w:w="0" w:type="dxa"/>
            <w:left w:w="10" w:type="dxa"/>
            <w:bottom w:w="0" w:type="dxa"/>
            <w:right w:w="10" w:type="dxa"/>
          </w:tblCellMar>
        </w:tblPrEx>
        <w:trPr>
          <w:trHeight w:val="0"/>
          <w:jc w:val="center"/>
        </w:trPr>
        <w:tc>
          <w:tcPr>
            <w:tcW w:w="973"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5</w:t>
            </w:r>
          </w:p>
        </w:tc>
        <w:tc>
          <w:tcPr>
            <w:tcW w:w="1296"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熊振翔</w:t>
            </w:r>
          </w:p>
        </w:tc>
        <w:tc>
          <w:tcPr>
            <w:tcW w:w="194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产品质量部</w:t>
            </w:r>
          </w:p>
        </w:tc>
        <w:tc>
          <w:tcPr>
            <w:tcW w:w="259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产品质量部经理</w:t>
            </w:r>
          </w:p>
        </w:tc>
        <w:tc>
          <w:tcPr>
            <w:tcW w:w="171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内审组员</w:t>
            </w:r>
          </w:p>
        </w:tc>
      </w:tr>
      <w:tr>
        <w:tblPrEx>
          <w:tblW w:w="8522" w:type="dxa"/>
          <w:jc w:val="center"/>
          <w:tblCellMar>
            <w:top w:w="0" w:type="dxa"/>
            <w:left w:w="10" w:type="dxa"/>
            <w:bottom w:w="0" w:type="dxa"/>
            <w:right w:w="10" w:type="dxa"/>
          </w:tblCellMar>
        </w:tblPrEx>
        <w:trPr>
          <w:trHeight w:val="0"/>
          <w:jc w:val="center"/>
        </w:trPr>
        <w:tc>
          <w:tcPr>
            <w:tcW w:w="973"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6</w:t>
            </w:r>
          </w:p>
        </w:tc>
        <w:tc>
          <w:tcPr>
            <w:tcW w:w="1296"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刘文桂</w:t>
            </w:r>
          </w:p>
        </w:tc>
        <w:tc>
          <w:tcPr>
            <w:tcW w:w="1943"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综合部</w:t>
            </w:r>
          </w:p>
        </w:tc>
        <w:tc>
          <w:tcPr>
            <w:tcW w:w="2594"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综合部经理</w:t>
            </w:r>
          </w:p>
        </w:tc>
        <w:tc>
          <w:tcPr>
            <w:tcW w:w="1716"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内审组员</w:t>
            </w:r>
          </w:p>
        </w:tc>
      </w:tr>
    </w:tbl>
    <w:p>
      <w:pPr>
        <w:pStyle w:val="1"/>
        <w:numPr>
          <w:ilvl w:val="0"/>
          <w:numId w:val="2"/>
        </w:numPr>
        <w:bidi w:val="0"/>
      </w:pPr>
      <w:bookmarkStart w:id="12" w:name="heading_7"/>
      <w:bookmarkStart w:id="13" w:name="_Toc1886"/>
      <w:r>
        <w:t>审核结果</w:t>
      </w:r>
      <w:bookmarkEnd w:id="12"/>
      <w:bookmarkEnd w:id="13"/>
    </w:p>
    <w:p>
      <w:pPr>
        <w:pStyle w:val="Heading2"/>
        <w:bidi w:val="0"/>
      </w:pPr>
      <w:bookmarkStart w:id="14" w:name="heading_8"/>
      <w:bookmarkStart w:id="15" w:name="_Toc1397"/>
      <w:r>
        <w:t>审核概况</w:t>
      </w:r>
      <w:bookmarkEnd w:id="14"/>
      <w:bookmarkEnd w:id="15"/>
    </w:p>
    <w:p>
      <w:pPr>
        <w:pStyle w:val="a1"/>
        <w:bidi w:val="0"/>
      </w:pPr>
      <w:r>
        <w:t>2025年1</w:t>
      </w:r>
      <w:r>
        <w:rPr>
          <w:rFonts w:hint="eastAsia"/>
          <w:lang w:val="en-US" w:eastAsia="zh-CN"/>
        </w:rPr>
        <w:t>2</w:t>
      </w:r>
      <w:r>
        <w:t>月15日至1</w:t>
      </w:r>
      <w:r>
        <w:rPr>
          <w:rFonts w:hint="eastAsia"/>
          <w:lang w:val="en-US" w:eastAsia="zh-CN"/>
        </w:rPr>
        <w:t>2</w:t>
      </w:r>
      <w:r>
        <w:t>月16日，内部审核小组在公司领导支持和各相关部门的积极配合及参与下，顺利完成对运维服务相关部门的审核活动。具体审核情况见《2025年度内审检查表》。</w:t>
      </w:r>
    </w:p>
    <w:p>
      <w:pPr>
        <w:pStyle w:val="Heading2"/>
        <w:bidi w:val="0"/>
      </w:pPr>
      <w:bookmarkStart w:id="16" w:name="heading_9"/>
      <w:bookmarkStart w:id="17" w:name="_Toc22909"/>
      <w:r>
        <w:t>不符合项统计及分析</w:t>
      </w:r>
      <w:bookmarkEnd w:id="16"/>
      <w:bookmarkEnd w:id="17"/>
    </w:p>
    <w:p>
      <w:pPr>
        <w:pStyle w:val="a1"/>
        <w:bidi w:val="0"/>
      </w:pPr>
      <w:r>
        <w:t>本次内部审核发现不符合项1项，具体如下：</w:t>
      </w:r>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700"/>
        <w:gridCol w:w="4640"/>
        <w:gridCol w:w="2182"/>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700"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类别</w:t>
            </w:r>
          </w:p>
        </w:tc>
        <w:tc>
          <w:tcPr>
            <w:tcW w:w="4640"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不合格项描述</w:t>
            </w:r>
          </w:p>
        </w:tc>
        <w:tc>
          <w:tcPr>
            <w:tcW w:w="2182"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纠正完成时间</w:t>
            </w:r>
          </w:p>
        </w:tc>
      </w:tr>
      <w:tr>
        <w:tblPrEx>
          <w:tblW w:w="8522" w:type="dxa"/>
          <w:jc w:val="center"/>
          <w:tblCellMar>
            <w:top w:w="0" w:type="dxa"/>
            <w:left w:w="10" w:type="dxa"/>
            <w:bottom w:w="0" w:type="dxa"/>
            <w:right w:w="10" w:type="dxa"/>
          </w:tblCellMar>
        </w:tblPrEx>
        <w:trPr>
          <w:trHeight w:val="0"/>
          <w:jc w:val="center"/>
        </w:trPr>
        <w:tc>
          <w:tcPr>
            <w:tcW w:w="1700"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rFonts w:eastAsia="宋体" w:hint="default"/>
                <w:lang w:val="en-US" w:eastAsia="zh-CN"/>
              </w:rPr>
            </w:pPr>
            <w:r>
              <w:t>7.</w:t>
            </w:r>
            <w:r>
              <w:rPr>
                <w:rFonts w:hint="eastAsia"/>
                <w:lang w:val="en-US" w:eastAsia="zh-CN"/>
              </w:rPr>
              <w:t>6.1运维工具</w:t>
            </w:r>
          </w:p>
        </w:tc>
        <w:tc>
          <w:tcPr>
            <w:tcW w:w="464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r>
              <w:rPr>
                <w:rFonts w:eastAsia="宋体" w:hint="eastAsia"/>
                <w:lang w:val="en-US" w:eastAsia="zh-CN"/>
              </w:rPr>
              <w:t>2025年12月16日审核运维部时，访谈运维部经理姚耿桂，并查阅2025年度运维工具管理记录，未能提供《运维工具使用效果自评估报告》或类似的效果评价记录，不符合TCESA1299-2023 7.6.1 c)条款要求</w:t>
            </w:r>
          </w:p>
        </w:tc>
        <w:tc>
          <w:tcPr>
            <w:tcW w:w="2182"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2025年1</w:t>
            </w:r>
            <w:r>
              <w:rPr>
                <w:rFonts w:hint="eastAsia"/>
                <w:lang w:val="en-US" w:eastAsia="zh-CN"/>
              </w:rPr>
              <w:t>2</w:t>
            </w:r>
            <w:r>
              <w:t>月16日</w:t>
            </w:r>
          </w:p>
        </w:tc>
      </w:tr>
    </w:tbl>
    <w:p>
      <w:pPr>
        <w:pStyle w:val="1"/>
        <w:numPr>
          <w:ilvl w:val="0"/>
          <w:numId w:val="2"/>
        </w:numPr>
        <w:bidi w:val="0"/>
      </w:pPr>
      <w:bookmarkStart w:id="18" w:name="heading_10"/>
      <w:bookmarkStart w:id="19" w:name="_Toc26280"/>
      <w:r>
        <w:t>运维服务能力管理体系评价</w:t>
      </w:r>
      <w:bookmarkEnd w:id="18"/>
      <w:bookmarkEnd w:id="19"/>
    </w:p>
    <w:p>
      <w:pPr>
        <w:pStyle w:val="a1"/>
        <w:bidi w:val="0"/>
      </w:pPr>
      <w:r>
        <w:t>公司目前执行的运维服务体系满足《信息技术服务</w:t>
      </w:r>
      <w:r>
        <w:rPr>
          <w:rFonts w:hint="eastAsia"/>
          <w:lang w:val="en-US" w:eastAsia="zh-CN"/>
        </w:rPr>
        <w:t xml:space="preserve"> </w:t>
      </w:r>
      <w:r>
        <w:rPr>
          <w:rFonts w:ascii="Segoe UI" w:eastAsia="Segoe UI" w:hAnsi="Segoe UI" w:cs="Segoe UI"/>
          <w:i w:val="0"/>
          <w:iCs w:val="0"/>
          <w:caps w:val="0"/>
          <w:color w:val="0F1115"/>
          <w:spacing w:val="0"/>
          <w:sz w:val="22"/>
          <w:szCs w:val="22"/>
          <w:shd w:val="clear" w:color="auto" w:fill="FFFFFF"/>
        </w:rPr>
        <w:t>TCESA1299-2023</w:t>
      </w:r>
      <w:r>
        <w:t xml:space="preserve"> 运行维护服务能力成熟度模型》三级的要求。</w:t>
      </w:r>
    </w:p>
    <w:p>
      <w:pPr>
        <w:pStyle w:val="a1"/>
        <w:bidi w:val="0"/>
      </w:pPr>
      <w:r>
        <w:t>运维服务体系的实施对公司运维服务执行及服务质量控制起到很好的指导和规范作用。</w:t>
      </w:r>
      <w:r>
        <w:rPr>
          <w:rFonts w:hint="eastAsia"/>
        </w:rPr>
        <w:t>下一步公司将加强对体系执行情况的监督与检查，对发现的偏差及时纠正，并通过培训、宣贯等方式持续提升员工的体系执行意识和能力。</w:t>
      </w:r>
    </w:p>
    <w:p>
      <w:pPr>
        <w:pStyle w:val="a1"/>
        <w:bidi w:val="0"/>
      </w:pPr>
      <w:r>
        <w:t>公司已初步建立问题自我发现、自我改进的持续改进机制，保证管理体系持续保持有效性。</w:t>
      </w:r>
    </w:p>
    <w:p>
      <w:pPr>
        <w:pStyle w:val="a1"/>
        <w:bidi w:val="0"/>
      </w:pPr>
      <w:r>
        <w:t>公司层面和各部门需加强对员工的质量培训，强化员工质量管理意识，形成公司质量文化，促进公司运维服务能力管理体系的持续改进。</w:t>
      </w:r>
    </w:p>
    <w:p>
      <w:pPr>
        <w:pStyle w:val="1"/>
        <w:numPr>
          <w:ilvl w:val="0"/>
          <w:numId w:val="2"/>
        </w:numPr>
        <w:bidi w:val="0"/>
      </w:pPr>
      <w:bookmarkStart w:id="20" w:name="heading_11"/>
      <w:bookmarkStart w:id="21" w:name="_Toc1746"/>
      <w:r>
        <w:t>纠正措施</w:t>
      </w:r>
      <w:bookmarkEnd w:id="20"/>
      <w:bookmarkEnd w:id="21"/>
    </w:p>
    <w:p>
      <w:pPr>
        <w:pStyle w:val="a1"/>
        <w:rPr>
          <w:rFonts w:hint="default"/>
          <w:lang w:val="en-US" w:eastAsia="zh-CN"/>
        </w:rPr>
      </w:pPr>
      <w:r>
        <w:rPr>
          <w:rFonts w:hint="default"/>
          <w:lang w:val="en-US" w:eastAsia="zh-CN"/>
        </w:rPr>
        <w:t>本次审核发现的</w:t>
      </w:r>
      <w:r>
        <w:rPr>
          <w:rFonts w:hint="eastAsia"/>
          <w:lang w:val="en-US" w:eastAsia="zh-CN"/>
        </w:rPr>
        <w:t>1项</w:t>
      </w:r>
      <w:r>
        <w:rPr>
          <w:rFonts w:hint="default"/>
          <w:lang w:val="en-US" w:eastAsia="zh-CN"/>
        </w:rPr>
        <w:t>不符合项已按《内审不符合报告》完成整改。具体措施包括：</w:t>
      </w:r>
    </w:p>
    <w:p>
      <w:pPr>
        <w:pStyle w:val="a1"/>
        <w:bidi w:val="0"/>
        <w:rPr>
          <w:rFonts w:hint="eastAsia"/>
        </w:rPr>
      </w:pPr>
      <w:r>
        <w:rPr>
          <w:rFonts w:hint="eastAsia"/>
        </w:rPr>
        <w:t>修订《运维服务</w:t>
      </w:r>
      <w:r>
        <w:rPr>
          <w:rFonts w:hint="eastAsia"/>
          <w:lang w:val="en-US" w:eastAsia="zh-CN"/>
        </w:rPr>
        <w:t>工具</w:t>
      </w:r>
      <w:r>
        <w:rPr>
          <w:rFonts w:hint="eastAsia"/>
        </w:rPr>
        <w:t>管理制度》，明确运维工具效果评估的频次、内容和责任人；</w:t>
      </w:r>
    </w:p>
    <w:p>
      <w:pPr>
        <w:pStyle w:val="a1"/>
        <w:bidi w:val="0"/>
        <w:rPr>
          <w:rFonts w:hint="eastAsia"/>
        </w:rPr>
      </w:pPr>
      <w:r>
        <w:rPr>
          <w:rFonts w:hint="eastAsia"/>
        </w:rPr>
        <w:t>组织相关人员培训，确保制度要求落实；</w:t>
      </w:r>
    </w:p>
    <w:p>
      <w:pPr>
        <w:pStyle w:val="a1"/>
        <w:bidi w:val="0"/>
        <w:rPr>
          <w:rFonts w:hint="eastAsia"/>
        </w:rPr>
      </w:pPr>
      <w:r>
        <w:rPr>
          <w:rFonts w:hint="eastAsia"/>
        </w:rPr>
        <w:t>编制《运维工具使用效果自评估报告》的模板；</w:t>
      </w:r>
    </w:p>
    <w:p>
      <w:pPr>
        <w:pStyle w:val="a1"/>
        <w:bidi w:val="0"/>
      </w:pPr>
      <w:r>
        <w:rPr>
          <w:rFonts w:hint="eastAsia"/>
        </w:rPr>
        <w:t>将工具效果评估纳入运维部例行工作，由产品质量部跟踪验证。</w:t>
      </w:r>
    </w:p>
    <w:p>
      <w:pPr>
        <w:pStyle w:val="a1"/>
        <w:rPr>
          <w:rFonts w:hint="default"/>
          <w:lang w:val="en-US" w:eastAsia="zh-CN"/>
        </w:rPr>
      </w:pPr>
      <w:r>
        <w:rPr>
          <w:rFonts w:hint="default"/>
          <w:lang w:val="en-US" w:eastAsia="zh-CN"/>
        </w:rPr>
        <w:t>经产品质量部验证，整改措施有效，不符合项已关闭。防止再发生的长期措施（制度修订、培训、纳入例行工作）按计划推进中</w:t>
      </w:r>
      <w:r>
        <w:rPr>
          <w:rFonts w:hint="eastAsia"/>
          <w:lang w:val="en-US" w:eastAsia="zh-CN"/>
        </w:rPr>
        <w:t>。</w:t>
      </w:r>
      <w:r>
        <w:rPr>
          <w:rFonts w:hint="default"/>
          <w:lang w:val="en-US" w:eastAsia="zh-CN"/>
        </w:rPr>
        <w:t>预计</w:t>
      </w:r>
      <w:r>
        <w:rPr>
          <w:rFonts w:hint="eastAsia"/>
          <w:lang w:val="en-US" w:eastAsia="zh-CN"/>
        </w:rPr>
        <w:t>在2026年度第一季度进行培训</w:t>
      </w:r>
      <w:r>
        <w:rPr>
          <w:rFonts w:hint="default"/>
          <w:lang w:val="en-US" w:eastAsia="zh-CN"/>
        </w:rPr>
        <w:t>。</w:t>
      </w:r>
    </w:p>
    <w:sectPr>
      <w:headerReference w:type="default" r:id="rId4"/>
      <w:pgSz w:w="11906" w:h="16838"/>
      <w:pgMar w:top="1417" w:right="1800" w:bottom="578"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5EA5A2A9"/>
    <w:multiLevelType w:val="singleLevel"/>
    <w:tmpl w:val="5EA5A2A9"/>
    <w:lvl w:ilvl="0">
      <w:start w:val="1"/>
      <w:numFmt w:val="decimal"/>
      <w:lvlText w:val="%1."/>
      <w:lvlJc w:val="left"/>
      <w:pPr>
        <w:ind w:left="425" w:hanging="425"/>
      </w:pPr>
      <w:rPr>
        <w:rFonts w:hint="default"/>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5</Pages>
  <Words>1192</Words>
  <Characters>1371</Characters>
  <Application>Microsoft Office Word</Application>
  <DocSecurity>0</DocSecurity>
  <Lines>0</Lines>
  <Paragraphs>0</Paragraphs>
  <ScaleCrop>false</ScaleCrop>
  <Company/>
  <LinksUpToDate>false</LinksUpToDate>
  <CharactersWithSpaces>1421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2026-06-10T15:34:16Z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2052-12.1.0.26895</vt:lpwstr>
  </property>
  <property fmtid="{D5CDD505-2E9C-101B-9397-08002B2CF9AE}" pid="4" name="KSOTemplateDocerSaveRecord">
    <vt:lpwstr>eyJoZGlkIjoiZWI4NmUzMGY2ODA3MDc4ZTFlMjZjZTAyMjM0NmVmODgiLCJ1c2VySWQiOiIxMDc1MzgyOSJ9</vt:lpwstr>
  </property>
</Properties>
</file>