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bookmarkStart w:id="1" w:name="_GoBack"/>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运维服务报告管理制度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HFSJ-ITSS-0603</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_Toc5566 </w:instrText>
          </w:r>
          <w:r>
            <w:fldChar w:fldCharType="separate"/>
          </w:r>
          <w:r>
            <w:rPr>
              <w:rFonts w:hint="default"/>
              <w:lang w:val="en-US" w:eastAsia="zh-CN"/>
            </w:rPr>
            <w:t>1. 目的</w:t>
          </w:r>
          <w:r>
            <w:tab/>
          </w:r>
          <w:r>
            <w:fldChar w:fldCharType="begin"/>
          </w:r>
          <w:r>
            <w:instrText xml:space="preserve"> PAGEREF _Toc5566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_Toc27982 </w:instrText>
          </w:r>
          <w:r>
            <w:fldChar w:fldCharType="separate"/>
          </w:r>
          <w:r>
            <w:rPr>
              <w:rFonts w:hint="default"/>
              <w:lang w:val="en-US" w:eastAsia="zh-CN"/>
            </w:rPr>
            <w:t>2. 范围</w:t>
          </w:r>
          <w:r>
            <w:tab/>
          </w:r>
          <w:r>
            <w:fldChar w:fldCharType="begin"/>
          </w:r>
          <w:r>
            <w:instrText xml:space="preserve"> PAGEREF _Toc27982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_Toc21427 </w:instrText>
          </w:r>
          <w:r>
            <w:fldChar w:fldCharType="separate"/>
          </w:r>
          <w:r>
            <w:rPr>
              <w:rFonts w:hint="default"/>
              <w:lang w:val="en-US" w:eastAsia="zh-CN"/>
            </w:rPr>
            <w:t>3. 术语与定义</w:t>
          </w:r>
          <w:r>
            <w:tab/>
          </w:r>
          <w:r>
            <w:fldChar w:fldCharType="begin"/>
          </w:r>
          <w:r>
            <w:instrText xml:space="preserve"> PAGEREF _Toc21427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_Toc25273 </w:instrText>
          </w:r>
          <w:r>
            <w:fldChar w:fldCharType="separate"/>
          </w:r>
          <w:r>
            <w:rPr>
              <w:rFonts w:hint="default"/>
              <w:lang w:val="en-US" w:eastAsia="zh-CN"/>
            </w:rPr>
            <w:t>4. 角色与职责</w:t>
          </w:r>
          <w:r>
            <w:tab/>
          </w:r>
          <w:r>
            <w:fldChar w:fldCharType="begin"/>
          </w:r>
          <w:r>
            <w:instrText xml:space="preserve"> PAGEREF _Toc25273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_Toc4790 </w:instrText>
          </w:r>
          <w:r>
            <w:fldChar w:fldCharType="separate"/>
          </w:r>
          <w:r>
            <w:rPr>
              <w:rFonts w:hint="default"/>
              <w:lang w:val="en-US" w:eastAsia="zh-CN"/>
            </w:rPr>
            <w:t>5. 服务报告管理流程与其他流程的关系</w:t>
          </w:r>
          <w:r>
            <w:tab/>
          </w:r>
          <w:r>
            <w:fldChar w:fldCharType="begin"/>
          </w:r>
          <w:r>
            <w:instrText xml:space="preserve"> PAGEREF _Toc4790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_Toc16511 </w:instrText>
          </w:r>
          <w:r>
            <w:fldChar w:fldCharType="separate"/>
          </w:r>
          <w:r>
            <w:rPr>
              <w:rFonts w:hint="default"/>
              <w:lang w:val="en-US" w:eastAsia="zh-CN"/>
            </w:rPr>
            <w:t>5.1. 与服务级别管理的关系</w:t>
          </w:r>
          <w:r>
            <w:tab/>
          </w:r>
          <w:r>
            <w:fldChar w:fldCharType="begin"/>
          </w:r>
          <w:r>
            <w:instrText xml:space="preserve"> PAGEREF _Toc16511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_Toc16152 </w:instrText>
          </w:r>
          <w:r>
            <w:fldChar w:fldCharType="separate"/>
          </w:r>
          <w:r>
            <w:rPr>
              <w:rFonts w:hint="default"/>
              <w:lang w:val="en-US" w:eastAsia="zh-CN"/>
            </w:rPr>
            <w:t>5.2. 与事件管理的关系</w:t>
          </w:r>
          <w:r>
            <w:tab/>
          </w:r>
          <w:r>
            <w:fldChar w:fldCharType="begin"/>
          </w:r>
          <w:r>
            <w:instrText xml:space="preserve"> PAGEREF _Toc16152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_Toc10209 </w:instrText>
          </w:r>
          <w:r>
            <w:fldChar w:fldCharType="separate"/>
          </w:r>
          <w:r>
            <w:rPr>
              <w:rFonts w:hint="default"/>
              <w:lang w:val="en-US" w:eastAsia="zh-CN"/>
            </w:rPr>
            <w:t>5.3. 与问题管理的关系</w:t>
          </w:r>
          <w:r>
            <w:tab/>
          </w:r>
          <w:r>
            <w:fldChar w:fldCharType="begin"/>
          </w:r>
          <w:r>
            <w:instrText xml:space="preserve"> PAGEREF _Toc10209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_Toc2683 </w:instrText>
          </w:r>
          <w:r>
            <w:fldChar w:fldCharType="separate"/>
          </w:r>
          <w:r>
            <w:rPr>
              <w:rFonts w:hint="default"/>
              <w:lang w:val="en-US" w:eastAsia="zh-CN"/>
            </w:rPr>
            <w:t>5.4. 与变更管理的关系</w:t>
          </w:r>
          <w:r>
            <w:tab/>
          </w:r>
          <w:r>
            <w:fldChar w:fldCharType="begin"/>
          </w:r>
          <w:r>
            <w:instrText xml:space="preserve"> PAGEREF _Toc2683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_Toc27577 </w:instrText>
          </w:r>
          <w:r>
            <w:fldChar w:fldCharType="separate"/>
          </w:r>
          <w:r>
            <w:rPr>
              <w:rFonts w:hint="default"/>
              <w:lang w:val="en-US" w:eastAsia="zh-CN"/>
            </w:rPr>
            <w:t>5.5. 与配置管理的关系</w:t>
          </w:r>
          <w:r>
            <w:tab/>
          </w:r>
          <w:r>
            <w:fldChar w:fldCharType="begin"/>
          </w:r>
          <w:r>
            <w:instrText xml:space="preserve"> PAGEREF _Toc27577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_Toc19727 </w:instrText>
          </w:r>
          <w:r>
            <w:fldChar w:fldCharType="separate"/>
          </w:r>
          <w:r>
            <w:rPr>
              <w:rFonts w:hint="default"/>
              <w:lang w:val="en-US" w:eastAsia="zh-CN"/>
            </w:rPr>
            <w:t>5.6. 与能力管理的关系</w:t>
          </w:r>
          <w:r>
            <w:tab/>
          </w:r>
          <w:r>
            <w:fldChar w:fldCharType="begin"/>
          </w:r>
          <w:r>
            <w:instrText xml:space="preserve"> PAGEREF _Toc19727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_Toc31051 </w:instrText>
          </w:r>
          <w:r>
            <w:fldChar w:fldCharType="separate"/>
          </w:r>
          <w:r>
            <w:rPr>
              <w:rFonts w:hint="default"/>
              <w:lang w:val="en-US" w:eastAsia="zh-CN"/>
            </w:rPr>
            <w:t>5.7. 与应急管理的关系</w:t>
          </w:r>
          <w:r>
            <w:tab/>
          </w:r>
          <w:r>
            <w:fldChar w:fldCharType="begin"/>
          </w:r>
          <w:r>
            <w:instrText xml:space="preserve"> PAGEREF _Toc31051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_Toc9618 </w:instrText>
          </w:r>
          <w:r>
            <w:fldChar w:fldCharType="separate"/>
          </w:r>
          <w:r>
            <w:rPr>
              <w:rFonts w:hint="default"/>
              <w:lang w:val="en-US" w:eastAsia="zh-CN"/>
            </w:rPr>
            <w:t>5.8. 与满意度管理的关系</w:t>
          </w:r>
          <w:r>
            <w:tab/>
          </w:r>
          <w:r>
            <w:fldChar w:fldCharType="begin"/>
          </w:r>
          <w:r>
            <w:instrText xml:space="preserve"> PAGEREF _Toc9618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_Toc26814 </w:instrText>
          </w:r>
          <w:r>
            <w:fldChar w:fldCharType="separate"/>
          </w:r>
          <w:r>
            <w:rPr>
              <w:rFonts w:hint="default"/>
              <w:lang w:val="en-US" w:eastAsia="zh-CN"/>
            </w:rPr>
            <w:t>5.9. 与质量管理的关系</w:t>
          </w:r>
          <w:r>
            <w:tab/>
          </w:r>
          <w:r>
            <w:fldChar w:fldCharType="begin"/>
          </w:r>
          <w:r>
            <w:instrText xml:space="preserve"> PAGEREF _Toc26814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_Toc30306 </w:instrText>
          </w:r>
          <w:r>
            <w:fldChar w:fldCharType="separate"/>
          </w:r>
          <w:r>
            <w:rPr>
              <w:rFonts w:hint="default"/>
              <w:lang w:val="en-US" w:eastAsia="zh-CN"/>
            </w:rPr>
            <w:t>5.10. 与持续改进的关系</w:t>
          </w:r>
          <w:r>
            <w:tab/>
          </w:r>
          <w:r>
            <w:fldChar w:fldCharType="begin"/>
          </w:r>
          <w:r>
            <w:instrText xml:space="preserve"> PAGEREF _Toc30306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_Toc31337 </w:instrText>
          </w:r>
          <w:r>
            <w:fldChar w:fldCharType="separate"/>
          </w:r>
          <w:r>
            <w:rPr>
              <w:rFonts w:hint="default"/>
              <w:lang w:val="en-US" w:eastAsia="zh-CN"/>
            </w:rPr>
            <w:t>6. 服务报告分类与内容</w:t>
          </w:r>
          <w:r>
            <w:tab/>
          </w:r>
          <w:r>
            <w:fldChar w:fldCharType="begin"/>
          </w:r>
          <w:r>
            <w:instrText xml:space="preserve"> PAGEREF _Toc31337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_Toc4141 </w:instrText>
          </w:r>
          <w:r>
            <w:fldChar w:fldCharType="separate"/>
          </w:r>
          <w:r>
            <w:rPr>
              <w:rFonts w:hint="default"/>
              <w:lang w:val="en-US" w:eastAsia="zh-CN"/>
            </w:rPr>
            <w:t>6.1. 服务报告分类</w:t>
          </w:r>
          <w:r>
            <w:tab/>
          </w:r>
          <w:r>
            <w:fldChar w:fldCharType="begin"/>
          </w:r>
          <w:r>
            <w:instrText xml:space="preserve"> PAGEREF _Toc4141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_Toc12102 </w:instrText>
          </w:r>
          <w:r>
            <w:fldChar w:fldCharType="separate"/>
          </w:r>
          <w:r>
            <w:rPr>
              <w:rFonts w:hint="default"/>
              <w:lang w:val="en-US" w:eastAsia="zh-CN"/>
            </w:rPr>
            <w:t>6.2. 服务报告内容要求</w:t>
          </w:r>
          <w:r>
            <w:tab/>
          </w:r>
          <w:r>
            <w:fldChar w:fldCharType="begin"/>
          </w:r>
          <w:r>
            <w:instrText xml:space="preserve"> PAGEREF _Toc12102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_Toc7931 </w:instrText>
          </w:r>
          <w:r>
            <w:fldChar w:fldCharType="separate"/>
          </w:r>
          <w:r>
            <w:rPr>
              <w:rFonts w:hint="default"/>
              <w:lang w:val="en-US" w:eastAsia="zh-CN"/>
            </w:rPr>
            <w:t xml:space="preserve">6.3. </w:t>
          </w:r>
          <w:r>
            <w:rPr>
              <w:rFonts w:hint="eastAsia"/>
              <w:lang w:val="en-US" w:eastAsia="zh-CN"/>
            </w:rPr>
            <w:t>服务报告编制原则</w:t>
          </w:r>
          <w:r>
            <w:tab/>
          </w:r>
          <w:r>
            <w:fldChar w:fldCharType="begin"/>
          </w:r>
          <w:r>
            <w:instrText xml:space="preserve"> PAGEREF _Toc7931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_Toc24144 </w:instrText>
          </w:r>
          <w:r>
            <w:fldChar w:fldCharType="separate"/>
          </w:r>
          <w:r>
            <w:rPr>
              <w:rFonts w:hint="default"/>
              <w:lang w:val="en-US" w:eastAsia="zh-CN"/>
            </w:rPr>
            <w:t>7. 服务报告管理流程</w:t>
          </w:r>
          <w:r>
            <w:tab/>
          </w:r>
          <w:r>
            <w:fldChar w:fldCharType="begin"/>
          </w:r>
          <w:r>
            <w:instrText xml:space="preserve"> PAGEREF _Toc24144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_Toc21667 </w:instrText>
          </w:r>
          <w:r>
            <w:fldChar w:fldCharType="separate"/>
          </w:r>
          <w:r>
            <w:rPr>
              <w:rFonts w:hint="default"/>
              <w:lang w:val="en-US" w:eastAsia="zh-CN"/>
            </w:rPr>
            <w:t>8. 过程描述</w:t>
          </w:r>
          <w:r>
            <w:tab/>
          </w:r>
          <w:r>
            <w:fldChar w:fldCharType="begin"/>
          </w:r>
          <w:r>
            <w:instrText xml:space="preserve"> PAGEREF _Toc21667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_Toc30113 </w:instrText>
          </w:r>
          <w:r>
            <w:fldChar w:fldCharType="separate"/>
          </w:r>
          <w:r>
            <w:rPr>
              <w:rFonts w:hint="default"/>
              <w:lang w:val="en-US" w:eastAsia="zh-CN"/>
            </w:rPr>
            <w:t>8.1. 识别报告要素</w:t>
          </w:r>
          <w:r>
            <w:tab/>
          </w:r>
          <w:r>
            <w:fldChar w:fldCharType="begin"/>
          </w:r>
          <w:r>
            <w:instrText xml:space="preserve"> PAGEREF _Toc30113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_Toc25590 </w:instrText>
          </w:r>
          <w:r>
            <w:fldChar w:fldCharType="separate"/>
          </w:r>
          <w:r>
            <w:rPr>
              <w:rFonts w:hint="default"/>
              <w:lang w:val="en-US" w:eastAsia="zh-CN"/>
            </w:rPr>
            <w:t>8.2. 收集分析报告数据</w:t>
          </w:r>
          <w:r>
            <w:tab/>
          </w:r>
          <w:r>
            <w:fldChar w:fldCharType="begin"/>
          </w:r>
          <w:r>
            <w:instrText xml:space="preserve"> PAGEREF _Toc25590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_Toc19832 </w:instrText>
          </w:r>
          <w:r>
            <w:fldChar w:fldCharType="separate"/>
          </w:r>
          <w:r>
            <w:rPr>
              <w:rFonts w:hint="default"/>
              <w:lang w:val="en-US" w:eastAsia="zh-CN"/>
            </w:rPr>
            <w:t>8.3. 编写服务报告</w:t>
          </w:r>
          <w:r>
            <w:tab/>
          </w:r>
          <w:r>
            <w:fldChar w:fldCharType="begin"/>
          </w:r>
          <w:r>
            <w:instrText xml:space="preserve"> PAGEREF _Toc19832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_Toc14878 </w:instrText>
          </w:r>
          <w:r>
            <w:fldChar w:fldCharType="separate"/>
          </w:r>
          <w:r>
            <w:rPr>
              <w:rFonts w:hint="default"/>
              <w:lang w:val="en-US" w:eastAsia="zh-CN"/>
            </w:rPr>
            <w:t>8.4. 服务报告评审</w:t>
          </w:r>
          <w:r>
            <w:tab/>
          </w:r>
          <w:r>
            <w:fldChar w:fldCharType="begin"/>
          </w:r>
          <w:r>
            <w:instrText xml:space="preserve"> PAGEREF _Toc14878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_Toc25757 </w:instrText>
          </w:r>
          <w:r>
            <w:fldChar w:fldCharType="separate"/>
          </w:r>
          <w:r>
            <w:rPr>
              <w:rFonts w:hint="default"/>
              <w:lang w:val="en-US" w:eastAsia="zh-CN"/>
            </w:rPr>
            <w:t>8.5. 服务报告审批</w:t>
          </w:r>
          <w:r>
            <w:tab/>
          </w:r>
          <w:r>
            <w:fldChar w:fldCharType="begin"/>
          </w:r>
          <w:r>
            <w:instrText xml:space="preserve"> PAGEREF _Toc25757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_Toc4091 </w:instrText>
          </w:r>
          <w:r>
            <w:fldChar w:fldCharType="separate"/>
          </w:r>
          <w:r>
            <w:rPr>
              <w:rFonts w:hint="default"/>
              <w:lang w:val="en-US" w:eastAsia="zh-CN"/>
            </w:rPr>
            <w:t>8.6. 提交/分发服务报告</w:t>
          </w:r>
          <w:r>
            <w:tab/>
          </w:r>
          <w:r>
            <w:fldChar w:fldCharType="begin"/>
          </w:r>
          <w:r>
            <w:instrText xml:space="preserve"> PAGEREF _Toc4091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_Toc22717 </w:instrText>
          </w:r>
          <w:r>
            <w:fldChar w:fldCharType="separate"/>
          </w:r>
          <w:r>
            <w:rPr>
              <w:rFonts w:hint="default"/>
              <w:lang w:val="en-US" w:eastAsia="zh-CN"/>
            </w:rPr>
            <w:t>9. 服务报告分发活动</w:t>
          </w:r>
          <w:r>
            <w:tab/>
          </w:r>
          <w:r>
            <w:fldChar w:fldCharType="begin"/>
          </w:r>
          <w:r>
            <w:instrText xml:space="preserve"> PAGEREF _Toc22717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_Toc31635 </w:instrText>
          </w:r>
          <w:r>
            <w:fldChar w:fldCharType="separate"/>
          </w:r>
          <w:r>
            <w:rPr>
              <w:rFonts w:hint="default"/>
              <w:lang w:val="en-US" w:eastAsia="zh-CN"/>
            </w:rPr>
            <w:t>9.1. 服务报告分发矩阵</w:t>
          </w:r>
          <w:r>
            <w:tab/>
          </w:r>
          <w:r>
            <w:fldChar w:fldCharType="begin"/>
          </w:r>
          <w:r>
            <w:instrText xml:space="preserve"> PAGEREF _Toc31635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_Toc17066 </w:instrText>
          </w:r>
          <w:r>
            <w:fldChar w:fldCharType="separate"/>
          </w:r>
          <w:r>
            <w:rPr>
              <w:rFonts w:hint="default"/>
              <w:lang w:val="en-US" w:eastAsia="zh-CN"/>
            </w:rPr>
            <w:t>9.2. 分发要求</w:t>
          </w:r>
          <w:r>
            <w:tab/>
          </w:r>
          <w:r>
            <w:fldChar w:fldCharType="begin"/>
          </w:r>
          <w:r>
            <w:instrText xml:space="preserve"> PAGEREF _Toc17066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_Toc10699 </w:instrText>
          </w:r>
          <w:r>
            <w:fldChar w:fldCharType="separate"/>
          </w:r>
          <w:r>
            <w:rPr>
              <w:rFonts w:hint="default"/>
              <w:lang w:val="en-US" w:eastAsia="zh-CN"/>
            </w:rPr>
            <w:t>10. 服务报告评审与改进</w:t>
          </w:r>
          <w:r>
            <w:tab/>
          </w:r>
          <w:r>
            <w:fldChar w:fldCharType="begin"/>
          </w:r>
          <w:r>
            <w:instrText xml:space="preserve"> PAGEREF _Toc10699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_Toc7594 </w:instrText>
          </w:r>
          <w:r>
            <w:fldChar w:fldCharType="separate"/>
          </w:r>
          <w:r>
            <w:rPr>
              <w:rFonts w:hint="default"/>
              <w:lang w:val="en-US" w:eastAsia="zh-CN"/>
            </w:rPr>
            <w:t>10.1. 定期评审</w:t>
          </w:r>
          <w:r>
            <w:tab/>
          </w:r>
          <w:r>
            <w:fldChar w:fldCharType="begin"/>
          </w:r>
          <w:r>
            <w:instrText xml:space="preserve"> PAGEREF _Toc7594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_Toc27384 </w:instrText>
          </w:r>
          <w:r>
            <w:fldChar w:fldCharType="separate"/>
          </w:r>
          <w:r>
            <w:rPr>
              <w:rFonts w:hint="default"/>
              <w:lang w:val="en-US" w:eastAsia="zh-CN"/>
            </w:rPr>
            <w:t>10.2. 服务报告评审表</w:t>
          </w:r>
          <w:r>
            <w:tab/>
          </w:r>
          <w:r>
            <w:fldChar w:fldCharType="begin"/>
          </w:r>
          <w:r>
            <w:instrText xml:space="preserve"> PAGEREF _Toc27384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_Toc23100 </w:instrText>
          </w:r>
          <w:r>
            <w:fldChar w:fldCharType="separate"/>
          </w:r>
          <w:r>
            <w:rPr>
              <w:rFonts w:hint="default"/>
              <w:lang w:val="en-US" w:eastAsia="zh-CN"/>
            </w:rPr>
            <w:t>10.3. 改进机制</w:t>
          </w:r>
          <w:r>
            <w:tab/>
          </w:r>
          <w:r>
            <w:fldChar w:fldCharType="begin"/>
          </w:r>
          <w:r>
            <w:instrText xml:space="preserve"> PAGEREF _Toc23100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_Toc20760 </w:instrText>
          </w:r>
          <w:r>
            <w:fldChar w:fldCharType="separate"/>
          </w:r>
          <w:r>
            <w:rPr>
              <w:rFonts w:hint="default"/>
              <w:lang w:val="en-US" w:eastAsia="zh-CN"/>
            </w:rPr>
            <w:t>11. KPI指标</w:t>
          </w:r>
          <w:r>
            <w:tab/>
          </w:r>
          <w:r>
            <w:fldChar w:fldCharType="begin"/>
          </w:r>
          <w:r>
            <w:instrText xml:space="preserve"> PAGEREF _Toc20760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_Toc32759 </w:instrText>
          </w:r>
          <w:r>
            <w:fldChar w:fldCharType="separate"/>
          </w:r>
          <w:r>
            <w:rPr>
              <w:rFonts w:hint="default"/>
              <w:lang w:val="en-US" w:eastAsia="zh-CN"/>
            </w:rPr>
            <w:t>12. 相关文件</w:t>
          </w:r>
          <w:r>
            <w:tab/>
          </w:r>
          <w:r>
            <w:fldChar w:fldCharType="begin"/>
          </w:r>
          <w:r>
            <w:instrText xml:space="preserve"> PAGEREF _Toc32759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_Toc21681 </w:instrText>
          </w:r>
          <w:r>
            <w:fldChar w:fldCharType="separate"/>
          </w:r>
          <w:r>
            <w:rPr>
              <w:rFonts w:hint="default"/>
              <w:lang w:val="en-US" w:eastAsia="zh-CN"/>
            </w:rPr>
            <w:t>13. 相关记录</w:t>
          </w:r>
          <w:r>
            <w:tab/>
          </w:r>
          <w:r>
            <w:fldChar w:fldCharType="begin"/>
          </w:r>
          <w:r>
            <w:instrText xml:space="preserve"> PAGEREF _Toc21681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_Toc25684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_Toc25684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_Toc20103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_Toc20103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_Toc26790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服务报告分类表</w:t>
      </w:r>
      <w:r>
        <w:tab/>
      </w:r>
      <w:r>
        <w:fldChar w:fldCharType="begin"/>
      </w:r>
      <w:r>
        <w:instrText xml:space="preserve"> PAGEREF _Toc26790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_Toc32486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日常运维报告内容要求表</w:t>
      </w:r>
      <w:r>
        <w:tab/>
      </w:r>
      <w:r>
        <w:fldChar w:fldCharType="begin"/>
      </w:r>
      <w:r>
        <w:instrText xml:space="preserve"> PAGEREF _Toc32486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_Toc31328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3 </w:t>
      </w:r>
      <w:r>
        <w:rPr>
          <w:rFonts w:hint="default"/>
          <w:lang w:val="en-US" w:eastAsia="zh-CN"/>
        </w:rPr>
        <w:t xml:space="preserve"> 服务级别报告内容要求表</w:t>
      </w:r>
      <w:r>
        <w:tab/>
      </w:r>
      <w:r>
        <w:fldChar w:fldCharType="begin"/>
      </w:r>
      <w:r>
        <w:instrText xml:space="preserve"> PAGEREF _Toc31328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_Toc16691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4 </w:t>
      </w:r>
      <w:r>
        <w:rPr>
          <w:rFonts w:hint="default"/>
          <w:lang w:val="en-US" w:eastAsia="zh-CN"/>
        </w:rPr>
        <w:t xml:space="preserve"> 专项报告内容要求表</w:t>
      </w:r>
      <w:r>
        <w:tab/>
      </w:r>
      <w:r>
        <w:fldChar w:fldCharType="begin"/>
      </w:r>
      <w:r>
        <w:instrText xml:space="preserve"> PAGEREF _Toc16691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_Toc24791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服务报告管理流程表</w:t>
      </w:r>
      <w:r>
        <w:tab/>
      </w:r>
      <w:r>
        <w:fldChar w:fldCharType="begin"/>
      </w:r>
      <w:r>
        <w:instrText xml:space="preserve"> PAGEREF _Toc24791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_Toc7171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报告要素识别表</w:t>
      </w:r>
      <w:r>
        <w:tab/>
      </w:r>
      <w:r>
        <w:fldChar w:fldCharType="begin"/>
      </w:r>
      <w:r>
        <w:instrText xml:space="preserve"> PAGEREF _Toc7171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_Toc213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服务报告分发矩阵表</w:t>
      </w:r>
      <w:r>
        <w:tab/>
      </w:r>
      <w:r>
        <w:fldChar w:fldCharType="begin"/>
      </w:r>
      <w:r>
        <w:instrText xml:space="preserve"> PAGEREF _Toc213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_Toc4378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服务报告评审表</w:t>
      </w:r>
      <w:r>
        <w:tab/>
      </w:r>
      <w:r>
        <w:fldChar w:fldCharType="begin"/>
      </w:r>
      <w:r>
        <w:instrText xml:space="preserve"> PAGEREF _Toc4378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_Toc5602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_Toc5602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_Toc16593 </w:instrText>
      </w:r>
      <w:r>
        <w:fldChar w:fldCharType="separate"/>
      </w:r>
      <w:r>
        <w:rPr>
          <w:rFonts w:hint="eastAsia"/>
          <w:lang w:val="en-US" w:eastAsia="zh-CN"/>
        </w:rPr>
        <w:t xml:space="preserve">表 </w:t>
      </w:r>
      <w:r>
        <w:rPr>
          <w:rFonts w:hint="default"/>
          <w:lang w:val="en-US" w:eastAsia="zh-CN"/>
        </w:rPr>
        <w:t>13</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_Toc16593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_Toc4290 </w:instrText>
      </w:r>
      <w: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1 </w:t>
      </w:r>
      <w:r>
        <w:rPr>
          <w:rFonts w:hint="default"/>
          <w:lang w:val="en-US" w:eastAsia="zh-CN"/>
        </w:rPr>
        <w:t xml:space="preserve"> 服务报告管理流程图</w:t>
      </w:r>
      <w:r>
        <w:tab/>
      </w:r>
      <w:r>
        <w:fldChar w:fldCharType="begin"/>
      </w:r>
      <w:r>
        <w:instrText xml:space="preserve"> PAGEREF _Toc4290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5566"/>
      <w:r>
        <w:rPr>
          <w:rFonts w:hint="default"/>
          <w:lang w:val="en-US" w:eastAsia="zh-CN"/>
        </w:rPr>
        <w:t>目的</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本制度旨在规范华风数据(深圳)有限公司（以下简称“公司”）运维服务报告的编制、审核、提交和归档管理，确保服务报告的及时性、准确性和完整性，为有效沟通和制定决策提供可靠的依据。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通过建立标准化的服务报告管理机制，实现以下目标：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评价服务绩效：根据服务级别协议（SLA）评价和计量服务达成情况；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支持决策制定：为管理层和客户提供准确的服务数据和分析；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促进持续改进：通过报告发现问题和改进机会；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满足沟通需求：满足客户和内部管理者对服务信息的需求；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记录服务过程：形成可追溯的服务历史记录。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982"/>
      <w:r>
        <w:rPr>
          <w:rFonts w:hint="default"/>
          <w:lang w:val="en-US" w:eastAsia="zh-CN"/>
        </w:rPr>
        <w:t>范围</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本制度适用于公司运维服务报告的全过程管理，覆盖以下范围：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报告类型：日常运维报告、服务级别报告、专项报告等；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报告周期：周报、月报、季报、年报、按需报告；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涉及部门：运维部、研发部、产品质量部、综合部；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报告对象：内部管理者、客户、管理层。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1427"/>
      <w:r>
        <w:rPr>
          <w:rFonts w:hint="default"/>
          <w:lang w:val="en-US" w:eastAsia="zh-CN"/>
        </w:rPr>
        <w:t>术语与定义</w:t>
      </w:r>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25684"/>
      <w:r>
        <w:rPr>
          <w:rFonts w:hint="default"/>
          <w:lang w:val="en-US" w:eastAsia="zh-CN"/>
        </w:rPr>
        <w:t xml:space="preserve"> 术语定义表</w:t>
      </w:r>
      <w:bookmarkEnd w:id="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53"/>
        <w:gridCol w:w="716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5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16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根据服务级别协议或管理要求，定期或不定期编制的服务执行情况报告。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反应性报告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报告已经发生的事件、事故或服务执行现状的报告。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前置性报告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对重要事件进行预警，提前采取预防性措施的报告（如即将发生的违反SLA行为预警）。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预先计划报告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报告计划中的活动，如维护计划、演练计划等。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重点反映SLA达成情况的周期性报告。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报告要素</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服务报告中需要包含的数据和度量指标。</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报告分发矩阵</w:t>
            </w:r>
          </w:p>
        </w:tc>
        <w:tc>
          <w:tcPr>
            <w:tcW w:w="716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明确各类报告的分发对象、分发方式和分发时间的对照表。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5273"/>
      <w:r>
        <w:rPr>
          <w:rFonts w:hint="default"/>
          <w:lang w:val="en-US" w:eastAsia="zh-CN"/>
        </w:rPr>
        <w:t>角色与职责</w:t>
      </w:r>
      <w:bookmarkEnd w:id="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20103"/>
      <w:r>
        <w:rPr>
          <w:rFonts w:hint="default"/>
          <w:lang w:val="en-US" w:eastAsia="zh-CN"/>
        </w:rPr>
        <w:t xml:space="preserve"> 角色与职责表</w:t>
      </w:r>
      <w:bookmarkEnd w:id="7"/>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31"/>
        <w:gridCol w:w="2620"/>
        <w:gridCol w:w="4347"/>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对应岗位</w:t>
            </w:r>
          </w:p>
        </w:tc>
        <w:tc>
          <w:tcPr>
            <w:tcW w:w="434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服务报告过程负责人</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负责本制度的制定、解释和修订；</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确定服务报告管理过程的衡量指标；</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总体上管理和监控服务报告过程；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建立服务报告管理过程的实施、评估和持续优化机制；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对所负责的服务报告进行审批；</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组织协调相关人员根据报告结果进行回顾、差距和趋势分析。</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服务报告执行人</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收集汇总编制报告所需的信息；</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按照固定格式和周期编制服务报告；</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服务报告管理过程的回顾和改进建议；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报告列表结构的设计和维护；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服务报告的分发、存档和版本控制；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定期审计服务报告的准确性和真实性。</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硬件运维工程师、软件运维工程师</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根据运维服务情况，按时采集并提交运维数据。</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研发部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研发部经理、技术支持工程师</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提供技术类报告所需的技术数据；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参与技术类报告的评审；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协助分析技术问题。</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产品质量部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产品质量部经理、产品质量部专员</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确保服务报告管理过程有效、正确地执行；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监督服务报告的准确性和真实性；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当过程不适应公司情况时，进行分析、找出缺陷、进行改进；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参与服务报告的评审。</w:t>
            </w:r>
          </w:p>
        </w:tc>
      </w:tr>
      <w:tr>
        <w:tblPrEx>
          <w:tblW w:w="8498" w:type="dxa"/>
          <w:jc w:val="center"/>
          <w:shd w:val="clear" w:color="auto" w:fill="auto"/>
          <w:tblCellMar>
            <w:top w:w="15" w:type="dxa"/>
            <w:left w:w="15" w:type="dxa"/>
            <w:bottom w:w="15" w:type="dxa"/>
            <w:right w:w="15" w:type="dxa"/>
          </w:tblCellMar>
        </w:tblPrEx>
        <w:trPr>
          <w:trHeight w:val="0"/>
          <w:jc w:val="center"/>
        </w:trPr>
        <w:tc>
          <w:tcPr>
            <w:tcW w:w="153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服务台</w:t>
            </w:r>
          </w:p>
        </w:tc>
        <w:tc>
          <w:tcPr>
            <w:tcW w:w="26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34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提供事件记录、满意度回访等数据。</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4790"/>
      <w:r>
        <w:rPr>
          <w:rFonts w:hint="default"/>
          <w:lang w:val="en-US" w:eastAsia="zh-CN"/>
        </w:rPr>
        <w:t>服务报告管理流程与其他流程的关系</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服务报告管理流程并非孤立存在，它与公司运维服务管理体系中的其他核心流程密切相关，共同构成完整的服务管理闭环。服务报告既是各流程执行结果的体现，也为各流程的改进提供输入。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6511"/>
      <w:r>
        <w:rPr>
          <w:rFonts w:hint="default"/>
          <w:lang w:val="en-US" w:eastAsia="zh-CN"/>
        </w:rPr>
        <w:t>与服务级别管理的关系</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与服务级别管理流程相互依存。服务级别管理流程负责定义服务级别协议（SLA）中的各项服务指标，而服务报告管理流程则通过定期编制的《服务级别报告》，真实反映这些指标的达成情况。服务报告中的SLA达成数据为服务级别评审会议提供关键输入，帮助识别服务差距，推动服务级别的持续优化。同时，服务级别协议的变更也会直接影响服务报告的内容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6152"/>
      <w:r>
        <w:rPr>
          <w:rFonts w:hint="default"/>
          <w:lang w:val="en-US" w:eastAsia="zh-CN"/>
        </w:rPr>
        <w:t>与事件管理的关系</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是服务报告的重要数据来源之一。事件管理过程中记录的事件数量、分类分布、优先级统计、响应时间、解决时间等数据，经过汇总分析后成为服务报告中事件统计模块的核心内容。服务报告通过对事件数据的趋势分析，可以发现事件高发领域，为事件管理的优化提供方向。同时，重大事件的处理结果也会在服务报告的“重大事件信息”部分进行专项说明。</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0209"/>
      <w:r>
        <w:rPr>
          <w:rFonts w:hint="default"/>
          <w:lang w:val="en-US" w:eastAsia="zh-CN"/>
        </w:rPr>
        <w:t>与问题管理的关系</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流程为服务报告提供问题分析结果和已知错误信息。服务报告中的问题统计、根本原因分析、问题解决情况等内容，均来源于问题管理流程的记录。问题管理通过对重复发生的事件进行根因分析，形成的分析结论和改进建议，成为服务报告中“未达标项分析”和“改进建议”的重要输入。服务报告发布后，其中识别的改进项也可能触发新问题的管理流程。</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683"/>
      <w:r>
        <w:rPr>
          <w:rFonts w:hint="default"/>
          <w:lang w:val="en-US" w:eastAsia="zh-CN"/>
        </w:rPr>
        <w:t>与变更管理的关系</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记录的所有变更信息，包括变更数量、变更类型分布、变更成功率、变更失败回退情况等，都是服务报告中变更统计模块的基础数据。服务报告通过对变更数据的分析，可以评估变更管理的整体效果，发现变更流程中存在的风险。重大变更的实施情况也需在服务报告中进行说明，确保客户和管理层了解服务环境的变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7577"/>
      <w:r>
        <w:rPr>
          <w:rFonts w:hint="default"/>
          <w:lang w:val="en-US" w:eastAsia="zh-CN"/>
        </w:rPr>
        <w:t>与配置管理的关系</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流程提供的配置项信息、配置审计结果、配置变更记录等数据，为服务报告中的资源配置分析提供依据。当服务报告中识别出因配置不当导致的问题时，可触发配置管理流程进行优化。同时，服务报告也可反映配置管理流程的执行效果，如配置审计的完成情况、配置数据的准确性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9727"/>
      <w:r>
        <w:rPr>
          <w:rFonts w:hint="default"/>
          <w:lang w:val="en-US" w:eastAsia="zh-CN"/>
        </w:rPr>
        <w:t>与能力管理的关系</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管理流程负责规划和管理人员、技术、资源等运维能力，而服务报告中反映的工作量特征、服务绩效趋势、问题发生规律等信息，为能力管理提供重要的输入数据。服务报告可以帮助能力管理流程识别能力短板，预判未来能力需求，从而制定更加精准的能力规划。同时，能力管理的改进措施落实情况也需在后续服务报告中进行跟踪和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1051"/>
      <w:r>
        <w:rPr>
          <w:rFonts w:hint="default"/>
          <w:lang w:val="en-US" w:eastAsia="zh-CN"/>
        </w:rPr>
        <w:t>与应急管理的关系</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流程处理重大事件和突发情况的全过程记录，是服务报告中“重大事件信息”部分的直接来源。应急事件的处理结果、根本原因分析、改进措施等，都需要在服务报告中进行详细说明。服务报告通过对应急事件的复盘分析，可以帮助应急管理流程持续优化应急预案，提升应急响应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9618"/>
      <w:r>
        <w:rPr>
          <w:rFonts w:hint="default"/>
          <w:lang w:val="en-US" w:eastAsia="zh-CN"/>
        </w:rPr>
        <w:t>与满意度管理的关系</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意度管理流程定期开展的客户满意度调查结果，是服务报告中客户满意度模块的核心内容。服务报告需要分析满意度得分的变化趋势、投诉问题的处理情况、客户反馈的改进建议等。同时，服务报告本身的质量和及时性也会影响客户对服务的整体满意度评价。</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6814"/>
      <w:r>
        <w:rPr>
          <w:rFonts w:hint="default"/>
          <w:lang w:val="en-US" w:eastAsia="zh-CN"/>
        </w:rPr>
        <w:t>与质量管理的关系</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依据服务报告中的数据分析，对服务执行过程进行质量监督。服务报告中反映的未达标项、客户投诉、问题分析等内容，是质量改进的重要输入。产品质量部通过定期评审服务报告的质量，确保报告的准确性和完整性，并将报告中发现的问题纳入质量改进流程进行跟踪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30306"/>
      <w:r>
        <w:rPr>
          <w:rFonts w:hint="default"/>
          <w:lang w:val="en-US" w:eastAsia="zh-CN"/>
        </w:rPr>
        <w:t>与持续改进的关系</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与持续改进流程形成闭环。服务报告中识别的改进机会、未达标项分析、趋势预警等信息，是触发持续改进流程的重要来源。通过《服务改进计划》的制定和实施，改进措施的效果将在后续服务报告中进行验证和评估，实现服务质量的螺旋式上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31337"/>
      <w:r>
        <w:rPr>
          <w:rFonts w:hint="default"/>
          <w:lang w:val="en-US" w:eastAsia="zh-CN"/>
        </w:rPr>
        <w:t>服务报告分类与内容</w:t>
      </w:r>
      <w:bookmarkEnd w:id="1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4141"/>
      <w:r>
        <w:rPr>
          <w:rFonts w:hint="default"/>
          <w:lang w:val="en-US" w:eastAsia="zh-CN"/>
        </w:rPr>
        <w:t>服务报告分类</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根据报告周期、内容和用途，服务报告分为以下类型：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1" w:name="_Toc26790"/>
      <w:r>
        <w:rPr>
          <w:rFonts w:hint="default"/>
          <w:lang w:val="en-US" w:eastAsia="zh-CN"/>
        </w:rPr>
        <w:t xml:space="preserve"> 服务报告分类表</w:t>
      </w:r>
      <w:bookmarkEnd w:id="2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10"/>
        <w:gridCol w:w="1392"/>
        <w:gridCol w:w="3890"/>
        <w:gridCol w:w="160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主要用途</w:t>
            </w:r>
          </w:p>
        </w:tc>
        <w:tc>
          <w:tcPr>
            <w:tcW w:w="160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内部管理，跟踪日常运维情况</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向客户汇报SLA达成情况</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季度服务报告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阶段性服务总结和分析</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年度服务报告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年度服务总结和下一年度规划</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专项报告</w:t>
            </w:r>
          </w:p>
        </w:tc>
        <w:tc>
          <w:tcPr>
            <w:tcW w:w="139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按需</w:t>
            </w:r>
          </w:p>
        </w:tc>
        <w:tc>
          <w:tcPr>
            <w:tcW w:w="38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重大事件、专项改进、项目验收等</w:t>
            </w:r>
          </w:p>
        </w:tc>
        <w:tc>
          <w:tcPr>
            <w:tcW w:w="160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2102"/>
      <w:r>
        <w:rPr>
          <w:rFonts w:hint="default"/>
          <w:lang w:val="en-US" w:eastAsia="zh-CN"/>
        </w:rPr>
        <w:t>服务报告内容要求</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各类服务报告的内容要求如下，报告编制人员应根据报告类型选择相应的内容模块，确保报告的完整性和针对性。</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3" w:name="_Toc32486"/>
      <w:r>
        <w:rPr>
          <w:rFonts w:hint="default"/>
          <w:lang w:val="en-US" w:eastAsia="zh-CN"/>
        </w:rPr>
        <w:t xml:space="preserve"> 日常运维报告内容要求表</w:t>
      </w:r>
      <w:bookmarkEnd w:id="2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982"/>
        <w:gridCol w:w="5128"/>
        <w:gridCol w:w="138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具体要求</w:t>
            </w:r>
          </w:p>
        </w:tc>
        <w:tc>
          <w:tcPr>
            <w:tcW w:w="138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数据来源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报告基本信息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报告周期、报告时间、报告人、审核人</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事件总数、按分类统计、按优先级统计、趋势分析</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问题总数、已解决问题数、未解决问题数、已知错误数</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变更统计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变更总数、变更类型分布、变更成功率</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重点工作完成情况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本周计划工作完成情况、下周工作计划</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存在问题及改进建议</w:t>
            </w:r>
          </w:p>
        </w:tc>
        <w:tc>
          <w:tcPr>
            <w:tcW w:w="512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本周发现的问题、改进建议</w:t>
            </w:r>
          </w:p>
        </w:tc>
        <w:tc>
          <w:tcPr>
            <w:tcW w:w="138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4" w:name="_Toc31328"/>
      <w:r>
        <w:rPr>
          <w:rFonts w:hint="default"/>
          <w:lang w:val="en-US" w:eastAsia="zh-CN"/>
        </w:rPr>
        <w:t xml:space="preserve"> 服务级别报告内容要求表</w:t>
      </w:r>
      <w:bookmarkEnd w:id="24"/>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84"/>
        <w:gridCol w:w="4736"/>
        <w:gridCol w:w="197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具体要求</w:t>
            </w:r>
          </w:p>
        </w:tc>
        <w:tc>
          <w:tcPr>
            <w:tcW w:w="197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数据来源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报告基本信息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报告周期、客户名称、项目名称、报告人、审核人</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服务概况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本期服务总体情况、关键数据概览</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各管理流程</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SLA达成情况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与服务级别目标相对应的绩效，各指标达成率统计</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未达标项分析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未达标的SLA项、原因分析、改进措施</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重大事件列表、影响分析、处理结果</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事件管理、应急管理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工作量特征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工作量统计、周期性变化趋势</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趋势信息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事件趋势、问题趋势、工作量趋势分析</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各管理流程</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客户满意度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满意度调查结果、投诉分析</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78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改进计划执行情况</w:t>
            </w:r>
          </w:p>
        </w:tc>
        <w:tc>
          <w:tcPr>
            <w:tcW w:w="473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上期改进计划完成情况、效果评估</w:t>
            </w:r>
          </w:p>
        </w:tc>
        <w:tc>
          <w:tcPr>
            <w:tcW w:w="197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改进管理</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5" w:name="_Toc16691"/>
      <w:r>
        <w:rPr>
          <w:rFonts w:hint="default"/>
          <w:lang w:val="en-US" w:eastAsia="zh-CN"/>
        </w:rPr>
        <w:t xml:space="preserve"> 专项报告内容要求表</w:t>
      </w:r>
      <w:bookmarkEnd w:id="2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90"/>
        <w:gridCol w:w="5129"/>
        <w:gridCol w:w="1976"/>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内容要求</w:t>
            </w:r>
          </w:p>
        </w:tc>
        <w:tc>
          <w:tcPr>
            <w:tcW w:w="197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适用场景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事件描述、影响范围、处理过程、根本原因、改进措施</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重大故障、安全事件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专项改进报告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改进背景、改进目标、改进措施、实施过程、效果验证</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专项改进项目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项目验收报告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项目概况、交付内容、验收标准、验收结论、客户确认</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运维项目验收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9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应急演练报告</w:t>
            </w:r>
          </w:p>
        </w:tc>
        <w:tc>
          <w:tcPr>
            <w:tcW w:w="512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演练目的、演练过程、演练效果、存在问题、改进建议</w:t>
            </w:r>
          </w:p>
        </w:tc>
        <w:tc>
          <w:tcPr>
            <w:tcW w:w="197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应急演练</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7931"/>
      <w:r>
        <w:rPr>
          <w:rFonts w:hint="eastAsia"/>
          <w:lang w:val="en-US" w:eastAsia="zh-CN"/>
        </w:rPr>
        <w:t>服务报告编制原则</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在编制各类服务报告时，应遵循以下原则：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针对性原则：根据报告类型和受众需求，选择合适的内容模块，避免内容冗余或缺失；</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准确性原则：确保数据来源可靠，统计口径一致，计算准确无误；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及时性原则：严格按照规定的周期和时间完成报告编制和提交；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可读性原则：使用规范的图表辅助说明，语言简洁明了，便于阅读和理解；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保密性原则：根据报告密级控制分发范围，保护客户和公司信息安全。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4144"/>
      <w:r>
        <w:rPr>
          <w:rFonts w:hint="default"/>
          <w:lang w:val="en-US" w:eastAsia="zh-CN"/>
        </w:rPr>
        <w:t>服务报告管理流程</w:t>
      </w:r>
      <w:bookmarkEnd w:id="2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8" w:name="_Toc4290"/>
      <w:r>
        <w:rPr>
          <w:rFonts w:hint="default"/>
          <w:lang w:val="en-US" w:eastAsia="zh-CN"/>
        </w:rPr>
        <w:t xml:space="preserve"> 服务报告管理流程图</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27.6pt;width:331.7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24791"/>
      <w:r>
        <w:rPr>
          <w:rFonts w:hint="default"/>
          <w:lang w:val="en-US" w:eastAsia="zh-CN"/>
        </w:rPr>
        <w:t xml:space="preserve"> 服务报告管理流程表</w:t>
      </w:r>
      <w:bookmarkEnd w:id="29"/>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802"/>
        <w:gridCol w:w="2920"/>
        <w:gridCol w:w="2920"/>
        <w:gridCol w:w="185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活动名称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责任部门/角色</w:t>
            </w:r>
          </w:p>
        </w:tc>
        <w:tc>
          <w:tcPr>
            <w:tcW w:w="185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输出文件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识别报告要素</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报告要素清单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收集分析报告数据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运维工程师、服务台</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原始数据记录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编写服务报告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服务报告草案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服务报告评审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产品质量部组织</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评审记录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服务报告审批</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审批意见</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6</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提交/分发服务报告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正式服务报告</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归档保存</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综合部</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归档记录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80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w:t>
            </w:r>
          </w:p>
        </w:tc>
        <w:tc>
          <w:tcPr>
            <w:tcW w:w="29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服务报告回顾与改进</w:t>
            </w:r>
          </w:p>
        </w:tc>
        <w:tc>
          <w:tcPr>
            <w:tcW w:w="29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产品质量部、运维部</w:t>
            </w:r>
          </w:p>
        </w:tc>
        <w:tc>
          <w:tcPr>
            <w:tcW w:w="185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21667"/>
      <w:r>
        <w:rPr>
          <w:rFonts w:hint="default"/>
          <w:lang w:val="en-US" w:eastAsia="zh-CN"/>
        </w:rPr>
        <w:t>过程描述</w:t>
      </w:r>
      <w:bookmarkEnd w:id="3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30113"/>
      <w:r>
        <w:rPr>
          <w:rFonts w:hint="default"/>
          <w:lang w:val="en-US" w:eastAsia="zh-CN"/>
        </w:rPr>
        <w:t>识别报告要素</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运维项目经理根据服务级别协议、客户要求和内部管理需求，识别服务报告中需要提供的数据和度量指标。</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2" w:name="_Toc7171"/>
      <w:r>
        <w:rPr>
          <w:rFonts w:hint="default"/>
          <w:lang w:val="en-US" w:eastAsia="zh-CN"/>
        </w:rPr>
        <w:t xml:space="preserve"> 报告要素识别表</w:t>
      </w:r>
      <w:bookmarkEnd w:id="3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78"/>
        <w:gridCol w:w="2257"/>
        <w:gridCol w:w="476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识别依据</w:t>
            </w:r>
          </w:p>
        </w:tc>
        <w:tc>
          <w:tcPr>
            <w:tcW w:w="47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需识别的要素</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SLA协议、客户要求</w:t>
            </w:r>
          </w:p>
        </w:tc>
        <w:tc>
          <w:tcPr>
            <w:tcW w:w="47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SLA指标达成情况、响应时间、解决时间、可用性</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内部管理需求</w:t>
            </w:r>
          </w:p>
        </w:tc>
        <w:tc>
          <w:tcPr>
            <w:tcW w:w="47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事件数量、问题数量、变更数量、工作量</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7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专项报告</w:t>
            </w:r>
          </w:p>
        </w:tc>
        <w:tc>
          <w:tcPr>
            <w:tcW w:w="225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特定事件/项目需求</w:t>
            </w:r>
          </w:p>
        </w:tc>
        <w:tc>
          <w:tcPr>
            <w:tcW w:w="47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事件描述、处理过程、改进措施、验收标准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5590"/>
      <w:r>
        <w:rPr>
          <w:rFonts w:hint="default"/>
          <w:lang w:val="en-US" w:eastAsia="zh-CN"/>
        </w:rPr>
        <w:t>收集分析报告数据</w:t>
      </w:r>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运维工程师、服务台专员等数据提供方，在服务过程中及时收集识别出的数据和指标，并进行初步整理。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数据收集要求：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及时性：按要求的频次及时收集数据；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准确性：确保数据来源可靠、记录准确；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完整性：确保数据覆盖所有需要统计的项；</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可追溯性：原始数据应保留备查。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数据分析要求：</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趋势分析：对数据进行周期性对比，分析变化趋势；</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根因分析：对异常数据进行原因分析；</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关联分析：分析不同数据之间的关联关系；</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预测分析：基于历史数据预测未来趋势。</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9832"/>
      <w:r>
        <w:rPr>
          <w:rFonts w:hint="default"/>
          <w:lang w:val="en-US" w:eastAsia="zh-CN"/>
        </w:rPr>
        <w:t>编写服务报告</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运维项目经理把经过分析的数据，按照公司统一规定的格式和形式，编写《服务报告》。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报告编写要求：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格式统一：使用公司规定的报告模板；</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数据准确：确保数据统计口径一致、计算准确；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分析深入：不仅罗列数据，还要进行分析和解读；</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结论明确：提出明确的结论和改进建议；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可读性强：使用图表辅助说明，便于阅读。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4878"/>
      <w:r>
        <w:rPr>
          <w:rFonts w:hint="default"/>
          <w:lang w:val="en-US" w:eastAsia="zh-CN"/>
        </w:rPr>
        <w:t>服务报告评审</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服务报告编制完成后，由产品质量部组织评审。评审内容包括：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报告内容的完整性和准确性；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数据统计的正确性；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分析的合理性和深度；</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改进建议的可行性；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报告格式的规范性。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评审通过后，提交运维部经理审批；评审不通过，返回修改。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5757"/>
      <w:r>
        <w:rPr>
          <w:rFonts w:hint="default"/>
          <w:lang w:val="en-US" w:eastAsia="zh-CN"/>
        </w:rPr>
        <w:t>服务报告审批</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运维部经理对服务报告进行审批，重点审核：</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报告是否满足客户和管理者需求；</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数据和结论是否可靠；</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改进建议是否合理。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遇特别重要的报告（如年度报告、重大事件报告），需提交总经理审核。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4091"/>
      <w:r>
        <w:rPr>
          <w:rFonts w:hint="default"/>
          <w:lang w:val="en-US" w:eastAsia="zh-CN"/>
        </w:rPr>
        <w:t>提交/分发服务报告</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经审批通过的服务报告，按照分发矩阵提交给相关对象。</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22717"/>
      <w:r>
        <w:rPr>
          <w:rFonts w:hint="default"/>
          <w:lang w:val="en-US" w:eastAsia="zh-CN"/>
        </w:rPr>
        <w:t>服务报告分发活动</w:t>
      </w:r>
      <w:bookmarkEnd w:id="3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31635"/>
      <w:r>
        <w:rPr>
          <w:rFonts w:hint="default"/>
          <w:lang w:val="en-US" w:eastAsia="zh-CN"/>
        </w:rPr>
        <w:t>服务报告分发矩阵</w:t>
      </w:r>
      <w:bookmarkEnd w:id="3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0" w:name="_Toc213"/>
      <w:r>
        <w:rPr>
          <w:rFonts w:hint="default"/>
          <w:lang w:val="en-US" w:eastAsia="zh-CN"/>
        </w:rPr>
        <w:t xml:space="preserve"> 服务报告分发矩阵表</w:t>
      </w:r>
      <w:bookmarkEnd w:id="4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12"/>
        <w:gridCol w:w="2537"/>
        <w:gridCol w:w="1601"/>
        <w:gridCol w:w="1762"/>
        <w:gridCol w:w="131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1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25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分发对象</w:t>
            </w:r>
          </w:p>
        </w:tc>
        <w:tc>
          <w:tcPr>
            <w:tcW w:w="160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分发方式</w:t>
            </w:r>
          </w:p>
        </w:tc>
        <w:tc>
          <w:tcPr>
            <w:tcW w:w="176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分发时限</w:t>
            </w:r>
          </w:p>
        </w:tc>
        <w:tc>
          <w:tcPr>
            <w:tcW w:w="131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日常运维报告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运维部经理、研发部经理</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邮件、内部共享</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每周一12:00前</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客户、运维部经理、产品质量部经理</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邮件、正式发文</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周期结束后5个工作日内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季度服务报告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客户、管理层、产品质量部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邮件、正式发文</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季度结束后10个工作日内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年度服务报告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客户、管理层、产品质量部、综合部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正式发文、会议汇报</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年度结束后15个工作日内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客户、管理层、产品质量部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邮件、专题会议</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事件处理后3个工作日内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专项改进报告</w:t>
            </w:r>
          </w:p>
        </w:tc>
        <w:tc>
          <w:tcPr>
            <w:tcW w:w="25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管理层、产品质量部</w:t>
            </w:r>
          </w:p>
        </w:tc>
        <w:tc>
          <w:tcPr>
            <w:tcW w:w="160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邮件、会议汇报</w:t>
            </w:r>
          </w:p>
        </w:tc>
        <w:tc>
          <w:tcPr>
            <w:tcW w:w="176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改进完成后5个工作日内</w:t>
            </w:r>
          </w:p>
        </w:tc>
        <w:tc>
          <w:tcPr>
            <w:tcW w:w="131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17066"/>
      <w:r>
        <w:rPr>
          <w:rFonts w:hint="default"/>
          <w:lang w:val="en-US" w:eastAsia="zh-CN"/>
        </w:rPr>
        <w:t>分发要求</w:t>
      </w:r>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确认接收：重要报告应确认对方已接收；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保密要求：按保密级别控制分发范围；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版本控制：确保分发的是最终版本；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反馈收集：收集接收方对报告的反馈意见。</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0699"/>
      <w:r>
        <w:rPr>
          <w:rFonts w:hint="default"/>
          <w:lang w:val="en-US" w:eastAsia="zh-CN"/>
        </w:rPr>
        <w:t>服务报告评审与改进</w:t>
      </w:r>
      <w:bookmarkEnd w:id="4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7594"/>
      <w:r>
        <w:rPr>
          <w:rFonts w:hint="default"/>
          <w:lang w:val="en-US" w:eastAsia="zh-CN"/>
        </w:rPr>
        <w:t>定期评审</w:t>
      </w:r>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产品质量部每季度组织一次服务报告管理过程的评审，评审内容包括：</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服务报告的及时性、准确性和完整性；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报告分发活动的有效性；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接收方对报告的满意度；</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报告使用情况和对决策的支持效果；</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报告管理过程中存在的问题和改进机会。</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7384"/>
      <w:r>
        <w:rPr>
          <w:rFonts w:hint="default"/>
          <w:lang w:val="en-US" w:eastAsia="zh-CN"/>
        </w:rPr>
        <w:t>服务报告评审表</w:t>
      </w:r>
      <w:bookmarkEnd w:id="4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5" w:name="_Toc4378"/>
      <w:r>
        <w:rPr>
          <w:rFonts w:hint="default"/>
          <w:lang w:val="en-US" w:eastAsia="zh-CN"/>
        </w:rPr>
        <w:t xml:space="preserve"> 服务报告评审表</w:t>
      </w:r>
      <w:bookmarkEnd w:id="4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67"/>
        <w:gridCol w:w="3788"/>
        <w:gridCol w:w="1905"/>
        <w:gridCol w:w="153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评审项目</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评审内容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评分（1-5）</w:t>
            </w:r>
          </w:p>
        </w:tc>
        <w:tc>
          <w:tcPr>
            <w:tcW w:w="153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改进建议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及时性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报告是否按时提交和分发</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准确性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数据是否准确、计算是否正确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完整性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内容是否完整覆盖要求</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可读性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格式是否规范、图表是否清晰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分析深度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分析是否深入、结论是否明确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改进导向</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是否提出可行的改进建议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12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客户反馈</w:t>
            </w:r>
          </w:p>
        </w:tc>
        <w:tc>
          <w:tcPr>
            <w:tcW w:w="378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客户对报告的满意度</w:t>
            </w:r>
          </w:p>
        </w:tc>
        <w:tc>
          <w:tcPr>
            <w:tcW w:w="190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single" w:sz="12" w:space="0" w:color="auto"/>
              <w:right w:val="single" w:sz="12" w:space="0" w:color="auto"/>
            </w:tcBorders>
            <w:shd w:val="clear" w:color="auto" w:fill="auto"/>
            <w:tcMar>
              <w:top w:w="-1" w:type="dxa"/>
              <w:left w:w="-1" w:type="dxa"/>
              <w:bottom w:w="-1" w:type="dxa"/>
              <w:right w:w="-1" w:type="dxa"/>
            </w:tcMar>
            <w:vAlign w:val="center"/>
          </w:tcPr>
          <w:p>
            <w:pPr>
              <w:snapToGrid w:val="0"/>
              <w:ind w:left="0" w:right="0" w:firstLine="0" w:leftChars="0" w:rightChars="0" w:firstLineChars="0"/>
              <w:jc w:val="center"/>
              <w:rPr>
                <w:rFonts w:ascii="Segoe UI" w:eastAsia="Segoe UI" w:hAnsi="Segoe UI" w:cs="Segoe UI" w:hint="eastAsia"/>
                <w:i w:val="0"/>
                <w:iCs w:val="0"/>
                <w:caps w:val="0"/>
                <w:color w:val="0F1115"/>
                <w:spacing w:val="0"/>
                <w:sz w:val="18"/>
                <w:szCs w:val="19"/>
              </w:rPr>
            </w:pP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3100"/>
      <w:r>
        <w:rPr>
          <w:rFonts w:hint="default"/>
          <w:lang w:val="en-US" w:eastAsia="zh-CN"/>
        </w:rPr>
        <w:t>改进机制</w:t>
      </w:r>
      <w:bookmarkEnd w:id="4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根据评审结果，制定改进计划，纳入持续改进流程：</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识别改进项：从评审中识别需要改进的内容；</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制定改进计划：明确改进措施、责任人、完成时限；</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实施改进：落实改进措施；</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验证效果：评估改进效果；</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标准化：将成功的改进纳入制度规范。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0760"/>
      <w:r>
        <w:rPr>
          <w:rFonts w:hint="default"/>
          <w:lang w:val="en-US" w:eastAsia="zh-CN"/>
        </w:rPr>
        <w:t>KPI指标</w:t>
      </w:r>
      <w:bookmarkEnd w:id="4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5602"/>
      <w:r>
        <w:rPr>
          <w:rFonts w:hint="default"/>
          <w:lang w:val="en-US" w:eastAsia="zh-CN"/>
        </w:rPr>
        <w:t xml:space="preserve"> KPI指标表</w:t>
      </w:r>
      <w:bookmarkEnd w:id="4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383"/>
        <w:gridCol w:w="3804"/>
        <w:gridCol w:w="1008"/>
        <w:gridCol w:w="132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38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380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0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32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238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服务报告交付及时率</w:t>
            </w:r>
          </w:p>
        </w:tc>
        <w:tc>
          <w:tcPr>
            <w:tcW w:w="38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（按时提交的服务报告数量 / 应提交服务报告总数量）×100%</w:t>
            </w:r>
          </w:p>
        </w:tc>
        <w:tc>
          <w:tcPr>
            <w:tcW w:w="100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≥95%</w:t>
            </w:r>
          </w:p>
        </w:tc>
        <w:tc>
          <w:tcPr>
            <w:tcW w:w="132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238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服务报告准确率</w:t>
            </w:r>
          </w:p>
        </w:tc>
        <w:tc>
          <w:tcPr>
            <w:tcW w:w="380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（数据准确的服务报告数量 / 服务报告总数量）×100%</w:t>
            </w:r>
          </w:p>
        </w:tc>
        <w:tc>
          <w:tcPr>
            <w:tcW w:w="100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≥98%</w:t>
            </w:r>
          </w:p>
        </w:tc>
        <w:tc>
          <w:tcPr>
            <w:tcW w:w="132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32759"/>
      <w:r>
        <w:rPr>
          <w:rFonts w:hint="default"/>
          <w:lang w:val="en-US" w:eastAsia="zh-CN"/>
        </w:rPr>
        <w:t>相关文件</w:t>
      </w:r>
      <w:bookmarkEnd w:id="49"/>
    </w:p>
    <w:p>
      <w:pPr>
        <w:pStyle w:val="a1"/>
        <w:numPr>
          <w:ilvl w:val="0"/>
          <w:numId w:val="9"/>
        </w:numPr>
        <w:ind w:left="425" w:hanging="425" w:leftChars="0" w:firstLineChars="0"/>
        <w:rPr>
          <w:rFonts w:hint="default"/>
          <w:lang w:val="en-US" w:eastAsia="zh-CN"/>
        </w:rPr>
      </w:pPr>
      <w:r>
        <w:rPr>
          <w:rFonts w:hint="default"/>
          <w:lang w:val="en-US" w:eastAsia="zh-CN"/>
        </w:rPr>
        <w:t>《服务级别管理制度》</w:t>
      </w:r>
      <w:r>
        <w:rPr>
          <w:rFonts w:hint="default"/>
          <w:lang w:val="en-US" w:eastAsia="zh-CN"/>
        </w:rPr>
        <w:tab/>
      </w:r>
      <w:r>
        <w:rPr>
          <w:rFonts w:hint="default"/>
          <w:lang w:val="en-US" w:eastAsia="zh-CN"/>
        </w:rPr>
        <w:t>HFSJ-ITSS-0602</w:t>
      </w:r>
    </w:p>
    <w:p>
      <w:pPr>
        <w:pStyle w:val="a1"/>
        <w:numPr>
          <w:ilvl w:val="0"/>
          <w:numId w:val="9"/>
        </w:numPr>
        <w:ind w:left="425" w:hanging="425" w:leftChars="0" w:firstLineChars="0"/>
        <w:rPr>
          <w:rFonts w:hint="default"/>
          <w:lang w:val="en-US" w:eastAsia="zh-CN"/>
        </w:rPr>
      </w:pPr>
      <w:r>
        <w:rPr>
          <w:rFonts w:hint="default"/>
          <w:lang w:val="en-US" w:eastAsia="zh-CN"/>
        </w:rPr>
        <w:t>《事件管理制度》</w:t>
      </w:r>
      <w:r>
        <w:rPr>
          <w:rFonts w:hint="default"/>
          <w:lang w:val="en-US" w:eastAsia="zh-CN"/>
        </w:rPr>
        <w:tab/>
      </w:r>
      <w:r>
        <w:rPr>
          <w:rFonts w:hint="default"/>
          <w:lang w:val="en-US" w:eastAsia="zh-CN"/>
        </w:rPr>
        <w:t>HFSJ-ITSS-0803</w:t>
      </w:r>
    </w:p>
    <w:p>
      <w:pPr>
        <w:pStyle w:val="a1"/>
        <w:numPr>
          <w:ilvl w:val="0"/>
          <w:numId w:val="9"/>
        </w:numPr>
        <w:ind w:left="425" w:hanging="425" w:leftChars="0" w:firstLineChars="0"/>
        <w:rPr>
          <w:rFonts w:hint="default"/>
          <w:lang w:val="en-US" w:eastAsia="zh-CN"/>
        </w:rPr>
      </w:pPr>
      <w:r>
        <w:rPr>
          <w:rFonts w:hint="default"/>
          <w:lang w:val="en-US" w:eastAsia="zh-CN"/>
        </w:rPr>
        <w:t>《问题管理制度》</w:t>
      </w:r>
      <w:r>
        <w:rPr>
          <w:rFonts w:hint="default"/>
          <w:lang w:val="en-US" w:eastAsia="zh-CN"/>
        </w:rPr>
        <w:tab/>
      </w:r>
      <w:r>
        <w:rPr>
          <w:rFonts w:hint="default"/>
          <w:lang w:val="en-US" w:eastAsia="zh-CN"/>
        </w:rPr>
        <w:t>HFSJ-ITSS-0804</w:t>
      </w:r>
    </w:p>
    <w:p>
      <w:pPr>
        <w:pStyle w:val="a1"/>
        <w:numPr>
          <w:ilvl w:val="0"/>
          <w:numId w:val="9"/>
        </w:numPr>
        <w:ind w:left="425" w:hanging="425" w:leftChars="0" w:firstLineChars="0"/>
        <w:rPr>
          <w:rFonts w:hint="default"/>
          <w:lang w:val="en-US" w:eastAsia="zh-CN"/>
        </w:rPr>
      </w:pPr>
      <w:r>
        <w:rPr>
          <w:rFonts w:hint="default"/>
          <w:lang w:val="en-US" w:eastAsia="zh-CN"/>
        </w:rPr>
        <w:t>《变更管理制度》</w:t>
      </w:r>
      <w:r>
        <w:rPr>
          <w:rFonts w:hint="default"/>
          <w:lang w:val="en-US" w:eastAsia="zh-CN"/>
        </w:rPr>
        <w:tab/>
      </w:r>
      <w:r>
        <w:rPr>
          <w:rFonts w:hint="default"/>
          <w:lang w:val="en-US" w:eastAsia="zh-CN"/>
        </w:rPr>
        <w:t>HFSJ-ITSS-0806</w:t>
      </w:r>
    </w:p>
    <w:p>
      <w:pPr>
        <w:pStyle w:val="a1"/>
        <w:numPr>
          <w:ilvl w:val="0"/>
          <w:numId w:val="9"/>
        </w:numPr>
        <w:ind w:left="425" w:hanging="425" w:leftChars="0" w:firstLineChars="0"/>
        <w:rPr>
          <w:rFonts w:hint="default"/>
          <w:lang w:val="en-US" w:eastAsia="zh-CN"/>
        </w:rPr>
      </w:pPr>
      <w:r>
        <w:rPr>
          <w:rFonts w:hint="default"/>
          <w:lang w:val="en-US" w:eastAsia="zh-CN"/>
        </w:rPr>
        <w:t>《满意度管理制度》</w:t>
      </w:r>
      <w:r>
        <w:rPr>
          <w:rFonts w:hint="default"/>
          <w:lang w:val="en-US" w:eastAsia="zh-CN"/>
        </w:rPr>
        <w:tab/>
      </w:r>
      <w:r>
        <w:rPr>
          <w:rFonts w:hint="default"/>
          <w:lang w:val="en-US" w:eastAsia="zh-CN"/>
        </w:rPr>
        <w:t>HFSJ-ITSS-0403</w:t>
      </w:r>
    </w:p>
    <w:p>
      <w:pPr>
        <w:pStyle w:val="a1"/>
        <w:numPr>
          <w:ilvl w:val="0"/>
          <w:numId w:val="9"/>
        </w:numPr>
        <w:ind w:left="425" w:hanging="425" w:leftChars="0" w:firstLineChars="0"/>
        <w:rPr>
          <w:rFonts w:hint="default"/>
          <w:lang w:val="en-US" w:eastAsia="zh-CN"/>
        </w:rPr>
      </w:pPr>
      <w:r>
        <w:rPr>
          <w:rFonts w:hint="default"/>
          <w:lang w:val="en-US" w:eastAsia="zh-CN"/>
        </w:rPr>
        <w:t>《能力改进管理制度》</w:t>
      </w:r>
      <w:r>
        <w:rPr>
          <w:rFonts w:hint="default"/>
          <w:lang w:val="en-US" w:eastAsia="zh-CN"/>
        </w:rPr>
        <w:tab/>
      </w:r>
      <w:r>
        <w:rPr>
          <w:rFonts w:hint="default"/>
          <w:lang w:val="en-US" w:eastAsia="zh-CN"/>
        </w:rPr>
        <w:t>HFSJ-ITSS-0302</w:t>
      </w:r>
    </w:p>
    <w:p>
      <w:pPr>
        <w:pStyle w:val="a1"/>
        <w:numPr>
          <w:ilvl w:val="0"/>
          <w:numId w:val="9"/>
        </w:numPr>
        <w:ind w:left="425" w:hanging="425" w:leftChars="0" w:firstLineChars="0"/>
        <w:rPr>
          <w:rFonts w:hint="default"/>
          <w:lang w:val="en-US" w:eastAsia="zh-CN"/>
        </w:rPr>
      </w:pPr>
      <w:r>
        <w:rPr>
          <w:rFonts w:hint="default"/>
          <w:lang w:val="en-US" w:eastAsia="zh-CN"/>
        </w:rPr>
        <w:t>《服务目录管理制度》</w:t>
      </w:r>
      <w:r>
        <w:rPr>
          <w:rFonts w:hint="default"/>
          <w:lang w:val="en-US" w:eastAsia="zh-CN"/>
        </w:rPr>
        <w:tab/>
      </w:r>
      <w:r>
        <w:rPr>
          <w:rFonts w:hint="default"/>
          <w:lang w:val="en-US" w:eastAsia="zh-CN"/>
        </w:rPr>
        <w:t>HFSJ-ITSS-0101</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21681"/>
      <w:r>
        <w:rPr>
          <w:rFonts w:hint="default"/>
          <w:lang w:val="en-US" w:eastAsia="zh-CN"/>
        </w:rPr>
        <w:t>相关记录</w:t>
      </w:r>
      <w:bookmarkEnd w:id="5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16593"/>
      <w:r>
        <w:rPr>
          <w:rFonts w:hint="default"/>
          <w:lang w:val="en-US" w:eastAsia="zh-CN"/>
        </w:rPr>
        <w:t xml:space="preserve"> 相关记录表</w:t>
      </w:r>
      <w:bookmarkEnd w:id="5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29"/>
        <w:gridCol w:w="2233"/>
        <w:gridCol w:w="223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223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《专项改进报告》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《服务报告评审记录》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402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《服务报告分发记录》</w:t>
            </w:r>
          </w:p>
        </w:tc>
        <w:tc>
          <w:tcPr>
            <w:tcW w:w="223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End w:id="1"/>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3E0A21"/>
    <w:multiLevelType w:val="singleLevel"/>
    <w:tmpl w:val="843E0A21"/>
    <w:lvl w:ilvl="0">
      <w:start w:val="1"/>
      <w:numFmt w:val="decimal"/>
      <w:lvlText w:val="%1."/>
      <w:lvlJc w:val="left"/>
      <w:pPr>
        <w:ind w:left="425" w:hanging="425"/>
      </w:pPr>
      <w:rPr>
        <w:rFonts w:hint="default"/>
      </w:rPr>
    </w:lvl>
  </w:abstractNum>
  <w:abstractNum w:abstractNumId="1">
    <w:nsid w:val="866FA917"/>
    <w:multiLevelType w:val="singleLevel"/>
    <w:tmpl w:val="866FA917"/>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2A864A7"/>
    <w:multiLevelType w:val="singleLevel"/>
    <w:tmpl w:val="92A864A7"/>
    <w:lvl w:ilvl="0">
      <w:start w:val="1"/>
      <w:numFmt w:val="decimal"/>
      <w:lvlText w:val="%1."/>
      <w:lvlJc w:val="left"/>
      <w:pPr>
        <w:ind w:left="425" w:hanging="425"/>
      </w:pPr>
      <w:rPr>
        <w:rFonts w:hint="default"/>
      </w:rPr>
    </w:lvl>
  </w:abstractNum>
  <w:abstractNum w:abstractNumId="4">
    <w:nsid w:val="9E00BBE3"/>
    <w:multiLevelType w:val="singleLevel"/>
    <w:tmpl w:val="9E00BBE3"/>
    <w:lvl w:ilvl="0">
      <w:start w:val="1"/>
      <w:numFmt w:val="decimal"/>
      <w:lvlText w:val="%1."/>
      <w:lvlJc w:val="left"/>
      <w:pPr>
        <w:ind w:left="425" w:hanging="425"/>
      </w:pPr>
      <w:rPr>
        <w:rFonts w:hint="default"/>
      </w:rPr>
    </w:lvl>
  </w:abstractNum>
  <w:abstractNum w:abstractNumId="5">
    <w:nsid w:val="3262643D"/>
    <w:multiLevelType w:val="singleLevel"/>
    <w:tmpl w:val="3262643D"/>
    <w:lvl w:ilvl="0">
      <w:start w:val="1"/>
      <w:numFmt w:val="decimal"/>
      <w:lvlText w:val="%1."/>
      <w:lvlJc w:val="left"/>
      <w:pPr>
        <w:ind w:left="425" w:hanging="425"/>
      </w:pPr>
      <w:rPr>
        <w:rFonts w:hint="default"/>
      </w:rPr>
    </w:lvl>
  </w:abstractNum>
  <w:abstractNum w:abstractNumId="6">
    <w:nsid w:val="32F2AD63"/>
    <w:multiLevelType w:val="singleLevel"/>
    <w:tmpl w:val="32F2AD63"/>
    <w:lvl w:ilvl="0">
      <w:start w:val="1"/>
      <w:numFmt w:val="decimal"/>
      <w:lvlText w:val="%1."/>
      <w:lvlJc w:val="left"/>
      <w:pPr>
        <w:ind w:left="425" w:hanging="425"/>
      </w:pPr>
      <w:rPr>
        <w:rFonts w:hint="default"/>
      </w:rPr>
    </w:lvl>
  </w:abstractNum>
  <w:abstractNum w:abstractNumId="7">
    <w:nsid w:val="408E3A45"/>
    <w:multiLevelType w:val="singleLevel"/>
    <w:tmpl w:val="408E3A45"/>
    <w:lvl w:ilvl="0">
      <w:start w:val="1"/>
      <w:numFmt w:val="decimal"/>
      <w:lvlText w:val="%1."/>
      <w:lvlJc w:val="left"/>
      <w:pPr>
        <w:ind w:left="425" w:hanging="425"/>
      </w:pPr>
      <w:rPr>
        <w:rFonts w:hint="default"/>
      </w:rPr>
    </w:lvl>
  </w:abstractNum>
  <w:abstractNum w:abstractNumId="8">
    <w:nsid w:val="613E34C7"/>
    <w:multiLevelType w:val="singleLevel"/>
    <w:tmpl w:val="613E34C7"/>
    <w:lvl w:ilvl="0">
      <w:start w:val="1"/>
      <w:numFmt w:val="decimal"/>
      <w:lvlText w:val="%1."/>
      <w:lvlJc w:val="left"/>
      <w:pPr>
        <w:ind w:left="425" w:hanging="425"/>
      </w:pPr>
      <w:rPr>
        <w:rFonts w:hint="default"/>
      </w:rPr>
    </w:lvl>
  </w:abstractNum>
  <w:num w:numId="1">
    <w:abstractNumId w:val="2"/>
  </w:num>
  <w:num w:numId="2">
    <w:abstractNumId w:val="7"/>
  </w:num>
  <w:num w:numId="3">
    <w:abstractNumId w:val="5"/>
  </w:num>
  <w:num w:numId="4">
    <w:abstractNumId w:val="8"/>
  </w:num>
  <w:num w:numId="5">
    <w:abstractNumId w:val="4"/>
  </w:num>
  <w:num w:numId="6">
    <w:abstractNumId w:val="0"/>
  </w:num>
  <w:num w:numId="7">
    <w:abstractNumId w:val="6"/>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16</Pages>
  <Words>1326</Words>
  <Characters>1557</Characters>
  <Application>Microsoft Office Word</Application>
  <DocSecurity>0</DocSecurity>
  <Lines>0</Lines>
  <Paragraphs>0</Paragraphs>
  <ScaleCrop>false</ScaleCrop>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