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FA57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69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北京建科恒远数智科技有限公司</w:t>
      </w:r>
      <w:bookmarkEnd w:id="0"/>
    </w:p>
    <w:p w14:paraId="37545B8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5357"/>
      <w:r>
        <w:rPr>
          <w:rFonts w:hint="eastAsia"/>
          <w:lang w:val="en-US" w:eastAsia="zh-CN"/>
        </w:rPr>
        <w:t>矿区生态管控系统技术服务项目-过程量化指标</w:t>
      </w:r>
      <w:bookmarkEnd w:id="1"/>
    </w:p>
    <w:p w14:paraId="42553B2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1A15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C3AF5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443CEA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2026.03.10</w:t>
            </w:r>
          </w:p>
        </w:tc>
      </w:tr>
      <w:tr w14:paraId="448A3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B2BBA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6B942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2026.03.10</w:t>
            </w:r>
          </w:p>
        </w:tc>
      </w:tr>
      <w:tr w14:paraId="508A0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E517C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张建国</w:t>
            </w:r>
          </w:p>
        </w:tc>
        <w:tc>
          <w:tcPr>
            <w:tcW w:w="2708" w:type="dxa"/>
          </w:tcPr>
          <w:p w14:paraId="2EA5DC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2026.03.10</w:t>
            </w:r>
          </w:p>
        </w:tc>
      </w:tr>
    </w:tbl>
    <w:p w14:paraId="3A4BC2E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F80106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3432D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6D106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AC108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37B26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6161E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04EE2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7D0CA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22</w:t>
            </w:r>
          </w:p>
        </w:tc>
        <w:tc>
          <w:tcPr>
            <w:tcW w:w="919" w:type="dxa"/>
          </w:tcPr>
          <w:p w14:paraId="2382D8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E479F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1D2A7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张建国</w:t>
            </w:r>
          </w:p>
        </w:tc>
      </w:tr>
      <w:tr w14:paraId="2A91F0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46D17D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946F9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25B96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3F9F2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E0239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D16D24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2F654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524AE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2A935A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2CCEC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252B3A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16B42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70EC7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4CC99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D6CA07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1C9013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3241826">
          <w:pPr>
            <w:pStyle w:val="16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_Toc15695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B8D9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安徽益联-丰盈云人力资源服务业财一体化管理系统-过程量化指标</w:t>
          </w:r>
          <w:r>
            <w:tab/>
          </w:r>
          <w:r>
            <w:fldChar w:fldCharType="begin"/>
          </w:r>
          <w:r>
            <w:instrText xml:space="preserve"> PAGEREF _Toc5357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643C7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EDEEB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A43EBD7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矿区生态管控系统技术服务项目-过程量化指标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142"/>
        <w:gridCol w:w="1698"/>
        <w:gridCol w:w="1420"/>
        <w:gridCol w:w="1420"/>
        <w:gridCol w:w="1421"/>
      </w:tblGrid>
      <w:tr w14:paraId="42BEA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069462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编号</w:t>
            </w:r>
          </w:p>
        </w:tc>
        <w:tc>
          <w:tcPr>
            <w:tcW w:w="1142" w:type="dxa"/>
            <w:vAlign w:val="center"/>
          </w:tcPr>
          <w:p w14:paraId="0A28817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指标类别</w:t>
            </w:r>
          </w:p>
        </w:tc>
        <w:tc>
          <w:tcPr>
            <w:tcW w:w="1698" w:type="dxa"/>
            <w:vAlign w:val="center"/>
          </w:tcPr>
          <w:p w14:paraId="4A6A78F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1420" w:type="dxa"/>
            <w:vAlign w:val="center"/>
          </w:tcPr>
          <w:p w14:paraId="3FD180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方式</w:t>
            </w:r>
          </w:p>
        </w:tc>
        <w:tc>
          <w:tcPr>
            <w:tcW w:w="1420" w:type="dxa"/>
            <w:vAlign w:val="center"/>
          </w:tcPr>
          <w:p w14:paraId="3AAE3D8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频次</w:t>
            </w:r>
          </w:p>
        </w:tc>
        <w:tc>
          <w:tcPr>
            <w:tcW w:w="1421" w:type="dxa"/>
            <w:vAlign w:val="center"/>
          </w:tcPr>
          <w:p w14:paraId="399AAD4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目标值</w:t>
            </w:r>
          </w:p>
        </w:tc>
      </w:tr>
      <w:tr w14:paraId="5F86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6E21CA7C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596A5D4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过程框架设计</w:t>
            </w:r>
          </w:p>
        </w:tc>
        <w:tc>
          <w:tcPr>
            <w:tcW w:w="1698" w:type="dxa"/>
            <w:shd w:val="clear" w:color="auto" w:fill="auto"/>
          </w:tcPr>
          <w:p w14:paraId="65CF854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1420" w:type="dxa"/>
            <w:shd w:val="clear" w:color="auto" w:fill="auto"/>
          </w:tcPr>
          <w:p w14:paraId="215C45C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数量，每年对过程框架进行分析的次数</w:t>
            </w:r>
          </w:p>
        </w:tc>
        <w:tc>
          <w:tcPr>
            <w:tcW w:w="1420" w:type="dxa"/>
            <w:shd w:val="clear" w:color="auto" w:fill="auto"/>
          </w:tcPr>
          <w:p w14:paraId="54CA071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421" w:type="dxa"/>
            <w:shd w:val="clear" w:color="auto" w:fill="auto"/>
          </w:tcPr>
          <w:p w14:paraId="4A1CE22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</w:tr>
      <w:tr w14:paraId="45B58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22FC92EA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1D6296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服务级别管理</w:t>
            </w:r>
          </w:p>
        </w:tc>
        <w:tc>
          <w:tcPr>
            <w:tcW w:w="1698" w:type="dxa"/>
            <w:shd w:val="clear" w:color="auto" w:fill="auto"/>
          </w:tcPr>
          <w:p w14:paraId="5D20EAA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1420" w:type="dxa"/>
            <w:shd w:val="clear" w:color="auto" w:fill="auto"/>
          </w:tcPr>
          <w:p w14:paraId="728F634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1420" w:type="dxa"/>
            <w:shd w:val="clear" w:color="auto" w:fill="auto"/>
          </w:tcPr>
          <w:p w14:paraId="1568CFF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7EE2A12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</w:tr>
      <w:tr w14:paraId="436D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7897BF60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041B424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服务报告管理</w:t>
            </w:r>
          </w:p>
        </w:tc>
        <w:tc>
          <w:tcPr>
            <w:tcW w:w="1698" w:type="dxa"/>
            <w:shd w:val="clear" w:color="auto" w:fill="auto"/>
          </w:tcPr>
          <w:p w14:paraId="25F9E44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1420" w:type="dxa"/>
            <w:shd w:val="clear" w:color="auto" w:fill="auto"/>
          </w:tcPr>
          <w:p w14:paraId="6DF3D9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1420" w:type="dxa"/>
            <w:shd w:val="clear" w:color="auto" w:fill="auto"/>
          </w:tcPr>
          <w:p w14:paraId="06CF89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1C426CB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379EC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restart"/>
            <w:vAlign w:val="center"/>
          </w:tcPr>
          <w:p w14:paraId="754953E2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restart"/>
            <w:vAlign w:val="center"/>
          </w:tcPr>
          <w:p w14:paraId="4F0D78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事件管理</w:t>
            </w:r>
          </w:p>
        </w:tc>
        <w:tc>
          <w:tcPr>
            <w:tcW w:w="1698" w:type="dxa"/>
            <w:shd w:val="clear" w:color="auto" w:fill="auto"/>
          </w:tcPr>
          <w:p w14:paraId="1D3E6AC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1420" w:type="dxa"/>
            <w:shd w:val="clear" w:color="auto" w:fill="auto"/>
          </w:tcPr>
          <w:p w14:paraId="7450C46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1420" w:type="dxa"/>
            <w:shd w:val="clear" w:color="auto" w:fill="auto"/>
          </w:tcPr>
          <w:p w14:paraId="23EB72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30BD4B4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19BE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continue"/>
            <w:vAlign w:val="center"/>
          </w:tcPr>
          <w:p w14:paraId="7D9F6F1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continue"/>
            <w:vAlign w:val="center"/>
          </w:tcPr>
          <w:p w14:paraId="4E86AC4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98" w:type="dxa"/>
            <w:shd w:val="clear" w:color="auto" w:fill="auto"/>
          </w:tcPr>
          <w:p w14:paraId="4D87E9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1420" w:type="dxa"/>
            <w:shd w:val="clear" w:color="auto" w:fill="auto"/>
          </w:tcPr>
          <w:p w14:paraId="5540305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1420" w:type="dxa"/>
            <w:shd w:val="clear" w:color="auto" w:fill="auto"/>
          </w:tcPr>
          <w:p w14:paraId="6FD1A35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666554C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</w:tr>
      <w:tr w14:paraId="4FFD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13B99BD5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72FDA66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问题管理</w:t>
            </w:r>
          </w:p>
        </w:tc>
        <w:tc>
          <w:tcPr>
            <w:tcW w:w="1698" w:type="dxa"/>
            <w:shd w:val="clear" w:color="auto" w:fill="auto"/>
          </w:tcPr>
          <w:p w14:paraId="1D0D12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1420" w:type="dxa"/>
            <w:shd w:val="clear" w:color="auto" w:fill="auto"/>
          </w:tcPr>
          <w:p w14:paraId="5F62E3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1420" w:type="dxa"/>
            <w:shd w:val="clear" w:color="auto" w:fill="auto"/>
          </w:tcPr>
          <w:p w14:paraId="379AAF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54A6D15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1ED6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764B1D08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35559DF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变更管理</w:t>
            </w:r>
          </w:p>
        </w:tc>
        <w:tc>
          <w:tcPr>
            <w:tcW w:w="1698" w:type="dxa"/>
            <w:shd w:val="clear" w:color="auto" w:fill="auto"/>
          </w:tcPr>
          <w:p w14:paraId="27DB41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1420" w:type="dxa"/>
            <w:shd w:val="clear" w:color="auto" w:fill="auto"/>
          </w:tcPr>
          <w:p w14:paraId="23ED5B0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(变次成功次数/变更总次数)×100%</w:t>
            </w:r>
          </w:p>
        </w:tc>
        <w:tc>
          <w:tcPr>
            <w:tcW w:w="1420" w:type="dxa"/>
            <w:shd w:val="clear" w:color="auto" w:fill="auto"/>
          </w:tcPr>
          <w:p w14:paraId="185467A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7C0710D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5ED2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74608201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1E23379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发布管理</w:t>
            </w:r>
          </w:p>
        </w:tc>
        <w:tc>
          <w:tcPr>
            <w:tcW w:w="1698" w:type="dxa"/>
            <w:shd w:val="clear" w:color="auto" w:fill="auto"/>
          </w:tcPr>
          <w:p w14:paraId="67FCB18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1420" w:type="dxa"/>
            <w:shd w:val="clear" w:color="auto" w:fill="auto"/>
          </w:tcPr>
          <w:p w14:paraId="4FD200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1420" w:type="dxa"/>
            <w:shd w:val="clear" w:color="auto" w:fill="auto"/>
          </w:tcPr>
          <w:p w14:paraId="386AEDF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5CCE54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3866C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4B2B7F45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7A7F58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配置管理</w:t>
            </w:r>
          </w:p>
        </w:tc>
        <w:tc>
          <w:tcPr>
            <w:tcW w:w="1698" w:type="dxa"/>
            <w:shd w:val="clear" w:color="auto" w:fill="auto"/>
          </w:tcPr>
          <w:p w14:paraId="0736FF8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1420" w:type="dxa"/>
            <w:shd w:val="clear" w:color="auto" w:fill="auto"/>
          </w:tcPr>
          <w:p w14:paraId="260B146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(准确配置次数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配置总次数)×100%</w:t>
            </w:r>
          </w:p>
        </w:tc>
        <w:tc>
          <w:tcPr>
            <w:tcW w:w="1420" w:type="dxa"/>
            <w:shd w:val="clear" w:color="auto" w:fill="auto"/>
          </w:tcPr>
          <w:p w14:paraId="59D863A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285A8B4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 w14:paraId="5D33D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restart"/>
            <w:vAlign w:val="center"/>
          </w:tcPr>
          <w:p w14:paraId="0FFD7D0B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restart"/>
            <w:vAlign w:val="center"/>
          </w:tcPr>
          <w:p w14:paraId="26D804C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服务可用性和连续性管理</w:t>
            </w:r>
          </w:p>
        </w:tc>
        <w:tc>
          <w:tcPr>
            <w:tcW w:w="1698" w:type="dxa"/>
            <w:shd w:val="clear" w:color="auto" w:fill="auto"/>
          </w:tcPr>
          <w:p w14:paraId="0616E83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1420" w:type="dxa"/>
            <w:shd w:val="clear" w:color="auto" w:fill="auto"/>
          </w:tcPr>
          <w:p w14:paraId="0BBAF0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(服务约定运行时间 - 服务不可用时间)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服务约定运行时间×100%</w:t>
            </w:r>
          </w:p>
        </w:tc>
        <w:tc>
          <w:tcPr>
            <w:tcW w:w="1420" w:type="dxa"/>
            <w:shd w:val="clear" w:color="auto" w:fill="auto"/>
          </w:tcPr>
          <w:p w14:paraId="06B6730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6539CC3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 w14:paraId="5382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continue"/>
            <w:vAlign w:val="center"/>
          </w:tcPr>
          <w:p w14:paraId="5E96ECC2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continue"/>
            <w:vAlign w:val="center"/>
          </w:tcPr>
          <w:p w14:paraId="6510C19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98" w:type="dxa"/>
            <w:shd w:val="clear" w:color="auto" w:fill="auto"/>
          </w:tcPr>
          <w:p w14:paraId="64D4C0F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1420" w:type="dxa"/>
            <w:shd w:val="clear" w:color="auto" w:fill="auto"/>
          </w:tcPr>
          <w:p w14:paraId="1C3663E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1420" w:type="dxa"/>
            <w:shd w:val="clear" w:color="auto" w:fill="auto"/>
          </w:tcPr>
          <w:p w14:paraId="1D727B7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7E9F3C6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  <w:tr w14:paraId="5A52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649C6791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03A45B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容量管理</w:t>
            </w:r>
          </w:p>
        </w:tc>
        <w:tc>
          <w:tcPr>
            <w:tcW w:w="1698" w:type="dxa"/>
            <w:shd w:val="clear" w:color="auto" w:fill="auto"/>
          </w:tcPr>
          <w:p w14:paraId="2DFDEB2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1420" w:type="dxa"/>
            <w:shd w:val="clear" w:color="auto" w:fill="auto"/>
          </w:tcPr>
          <w:p w14:paraId="2C1001D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1420" w:type="dxa"/>
            <w:shd w:val="clear" w:color="auto" w:fill="auto"/>
          </w:tcPr>
          <w:p w14:paraId="308873A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434350E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  <w:tr w14:paraId="17462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0937D856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1735329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信息安全管理</w:t>
            </w:r>
          </w:p>
        </w:tc>
        <w:tc>
          <w:tcPr>
            <w:tcW w:w="1698" w:type="dxa"/>
            <w:shd w:val="clear" w:color="auto" w:fill="auto"/>
          </w:tcPr>
          <w:p w14:paraId="4672BA2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1420" w:type="dxa"/>
            <w:shd w:val="clear" w:color="auto" w:fill="auto"/>
          </w:tcPr>
          <w:p w14:paraId="7B1E65E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1420" w:type="dxa"/>
            <w:shd w:val="clear" w:color="auto" w:fill="auto"/>
          </w:tcPr>
          <w:p w14:paraId="2FD24D1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421" w:type="dxa"/>
            <w:shd w:val="clear" w:color="auto" w:fill="auto"/>
          </w:tcPr>
          <w:p w14:paraId="0A2D518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</w:tr>
    </w:tbl>
    <w:p w14:paraId="1BD6C22B">
      <w:pPr>
        <w:pStyle w:val="29"/>
        <w:ind w:left="0" w:leftChars="0" w:right="0" w:rightChars="0" w:firstLine="0" w:firstLineChars="0"/>
        <w:jc w:val="both"/>
        <w:rPr>
          <w:rFonts w:hint="default"/>
          <w:vertAlign w:val="baseline"/>
          <w:lang w:val="en-US" w:eastAsia="zh-CN"/>
        </w:rPr>
      </w:pPr>
    </w:p>
    <w:sectPr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59B6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75BF121"/>
    <w:multiLevelType w:val="singleLevel"/>
    <w:tmpl w:val="B75BF1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A11A04"/>
    <w:rsid w:val="3E966151"/>
    <w:rsid w:val="44772893"/>
    <w:rsid w:val="49EF7646"/>
    <w:rsid w:val="576F04B9"/>
    <w:rsid w:val="703379DD"/>
    <w:rsid w:val="714E3A8E"/>
    <w:rsid w:val="73BB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301</Words>
  <Characters>370</Characters>
  <Lines>0</Lines>
  <Paragraphs>0</Paragraphs>
  <TotalTime>0</TotalTime>
  <ScaleCrop>false</ScaleCrop>
  <LinksUpToDate>false</LinksUpToDate>
  <CharactersWithSpaces>376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2026-01-15T13:59:48Z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