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A5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69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7545B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5357"/>
      <w:r>
        <w:rPr>
          <w:rFonts w:hint="eastAsia"/>
          <w:lang w:val="en-US" w:eastAsia="zh-CN"/>
        </w:rPr>
        <w:t>安徽益联-丰盈云人力资源服务业财一体化管理系统-过程量化指标</w:t>
      </w:r>
      <w:bookmarkEnd w:id="1"/>
    </w:p>
    <w:p w14:paraId="42553B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1A15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3AF5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443CE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448A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B2BB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B94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508A0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E517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2EA5D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</w:tbl>
    <w:p w14:paraId="3A4BC2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F80106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432D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D106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C10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37B2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6161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4EE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7D0CA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919" w:type="dxa"/>
          </w:tcPr>
          <w:p w14:paraId="2382D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E479F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1D2A7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A91F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46D17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946F9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25B96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3F9F2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E023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D16D2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2F654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524AE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2A935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CCE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52B3A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16B4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70EC7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CC99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6CA0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9013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3241826">
          <w:pPr>
            <w:pStyle w:val="16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_Toc15695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B8D9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安徽益联-丰盈云人力资源服务业财一体化管理系统-过程量化指标</w:t>
          </w:r>
          <w:r>
            <w:tab/>
          </w:r>
          <w:r>
            <w:fldChar w:fldCharType="begin"/>
          </w:r>
          <w:r>
            <w:instrText xml:space="preserve"> PAGEREF _Toc5357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43C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DEE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43EBD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安徽益联-丰盈云人力资源服务业财一体化管理系统-过程量化指标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 w14:paraId="42BE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69462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 w14:paraId="0A2881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 w14:paraId="4A6A78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 w14:paraId="3FD180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方式</w:t>
            </w:r>
          </w:p>
        </w:tc>
        <w:tc>
          <w:tcPr>
            <w:tcW w:w="1420" w:type="dxa"/>
            <w:vAlign w:val="center"/>
          </w:tcPr>
          <w:p w14:paraId="3AAE3D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  <w:tc>
          <w:tcPr>
            <w:tcW w:w="1421" w:type="dxa"/>
            <w:vAlign w:val="center"/>
          </w:tcPr>
          <w:p w14:paraId="399AAD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目标值</w:t>
            </w:r>
          </w:p>
        </w:tc>
      </w:tr>
      <w:tr w14:paraId="5F8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E21CA7C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596A5D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 w:color="auto" w:fill="auto"/>
          </w:tcPr>
          <w:p w14:paraId="65CF85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 w:color="auto" w:fill="auto"/>
          </w:tcPr>
          <w:p w14:paraId="215C4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 w:color="auto" w:fill="auto"/>
          </w:tcPr>
          <w:p w14:paraId="54CA07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4A1CE2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tr w14:paraId="45B5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22FC92EA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D6296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 w:color="auto" w:fill="auto"/>
          </w:tcPr>
          <w:p w14:paraId="5D20EA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 w:color="auto" w:fill="auto"/>
          </w:tcPr>
          <w:p w14:paraId="728F63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 w:color="auto" w:fill="auto"/>
          </w:tcPr>
          <w:p w14:paraId="1568CF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EE2A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 w14:paraId="436D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897BF60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41B42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 w:color="auto" w:fill="auto"/>
          </w:tcPr>
          <w:p w14:paraId="25F9E4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 w:color="auto" w:fill="auto"/>
          </w:tcPr>
          <w:p w14:paraId="6DF3D9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 w:color="auto" w:fill="auto"/>
          </w:tcPr>
          <w:p w14:paraId="06CF8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1C426C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79E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754953E2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4F0D78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 w:color="auto" w:fill="auto"/>
          </w:tcPr>
          <w:p w14:paraId="1D3E6A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 w:color="auto" w:fill="auto"/>
          </w:tcPr>
          <w:p w14:paraId="7450C4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 w:color="auto" w:fill="auto"/>
          </w:tcPr>
          <w:p w14:paraId="23EB72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30BD4B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9BE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7D9F6F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4E86AC4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4D87E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 w:color="auto" w:fill="auto"/>
          </w:tcPr>
          <w:p w14:paraId="554030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</w:tcPr>
          <w:p w14:paraId="6FD1A3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66554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 w14:paraId="4FFD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13B99BD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2FDA6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 w:color="auto" w:fill="auto"/>
          </w:tcPr>
          <w:p w14:paraId="1D0D12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 w:color="auto" w:fill="auto"/>
          </w:tcPr>
          <w:p w14:paraId="5F62E3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 w:color="auto" w:fill="auto"/>
          </w:tcPr>
          <w:p w14:paraId="379AAF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4A6D1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ED6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64B1D08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35559D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 w:color="auto" w:fill="auto"/>
          </w:tcPr>
          <w:p w14:paraId="27DB41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 w:color="auto" w:fill="auto"/>
          </w:tcPr>
          <w:p w14:paraId="23ED5B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 w:color="auto" w:fill="auto"/>
          </w:tcPr>
          <w:p w14:paraId="185467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C0710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5ED2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460820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E2337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 w:color="auto" w:fill="auto"/>
          </w:tcPr>
          <w:p w14:paraId="67FCB1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 w:color="auto" w:fill="auto"/>
          </w:tcPr>
          <w:p w14:paraId="4FD200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 w:color="auto" w:fill="auto"/>
          </w:tcPr>
          <w:p w14:paraId="386AED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CCE5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866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4B2B7F4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A7F58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 w:color="auto" w:fill="auto"/>
          </w:tcPr>
          <w:p w14:paraId="0736FF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 w:color="auto" w:fill="auto"/>
          </w:tcPr>
          <w:p w14:paraId="260B14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 w:color="auto" w:fill="auto"/>
          </w:tcPr>
          <w:p w14:paraId="59D863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285A8B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D33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0FFD7D0B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26D804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 w:color="auto" w:fill="auto"/>
          </w:tcPr>
          <w:p w14:paraId="0616E8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 w:color="auto" w:fill="auto"/>
          </w:tcPr>
          <w:p w14:paraId="0BBAF0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 w:color="auto" w:fill="auto"/>
          </w:tcPr>
          <w:p w14:paraId="06B673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539CC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382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5E96ECC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6510C1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64D4C0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 w:color="auto" w:fill="auto"/>
          </w:tcPr>
          <w:p w14:paraId="1C3663E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 w:color="auto" w:fill="auto"/>
          </w:tcPr>
          <w:p w14:paraId="1D727B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7E9F3C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5A5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49C679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3A45B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 w:color="auto" w:fill="auto"/>
          </w:tcPr>
          <w:p w14:paraId="2DFDEB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 w:color="auto" w:fill="auto"/>
          </w:tcPr>
          <w:p w14:paraId="2C1001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 w:color="auto" w:fill="auto"/>
          </w:tcPr>
          <w:p w14:paraId="308873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434350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1746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937D856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73532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 w:color="auto" w:fill="auto"/>
          </w:tcPr>
          <w:p w14:paraId="4672BA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 w:color="auto" w:fill="auto"/>
          </w:tcPr>
          <w:p w14:paraId="7B1E65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 w:color="auto" w:fill="auto"/>
          </w:tcPr>
          <w:p w14:paraId="2FD24D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0A2D51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1BD6C22B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9B6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A11A04"/>
    <w:rsid w:val="3E966151"/>
    <w:rsid w:val="44772893"/>
    <w:rsid w:val="49EF7646"/>
    <w:rsid w:val="576F04B9"/>
    <w:rsid w:val="703379DD"/>
    <w:rsid w:val="714E3A8E"/>
    <w:rsid w:val="73BB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301</Words>
  <Characters>370</Characters>
  <Lines>0</Lines>
  <Paragraphs>0</Paragraphs>
  <TotalTime>0</TotalTime>
  <ScaleCrop>false</ScaleCrop>
  <LinksUpToDate>false</LinksUpToDate>
  <CharactersWithSpaces>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2026-01-15T13:59:48Z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