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2025年服务可用性和连续性管理报告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_Toc12735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_Toc12735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_Toc22876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_Toc22876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_Toc23348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_Toc23348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_Toc17810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年度可用性达成情况</w:t>
          </w:r>
          <w:r>
            <w:tab/>
          </w:r>
          <w:r>
            <w:fldChar w:fldCharType="begin"/>
          </w:r>
          <w:r>
            <w:instrText xml:space="preserve"> PAGEREF _Toc17810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_Toc26868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服务可用性统计</w:t>
          </w:r>
          <w:r>
            <w:tab/>
          </w:r>
          <w:r>
            <w:fldChar w:fldCharType="begin"/>
          </w:r>
          <w:r>
            <w:instrText xml:space="preserve"> PAGEREF _Toc26868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年度服务中断事件汇总</w:t>
          </w:r>
          <w:r>
            <w:tab/>
          </w:r>
          <w:r>
            <w:fldChar w:fldCharType="begin"/>
          </w:r>
          <w:r>
            <w:instrText xml:space="preserve"> PAGEREF _Toc203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_Toc30463 </w:instrText>
          </w:r>
          <w:r>
            <w:fldChar w:fldCharType="separate"/>
          </w:r>
          <w:r>
            <w:rPr>
              <w:rFonts w:hint="default"/>
            </w:rPr>
            <w:t xml:space="preserve">2.2.1. </w:t>
          </w:r>
          <w:r>
            <w:t>计划内中断</w:t>
          </w:r>
          <w:r>
            <w:tab/>
          </w:r>
          <w:r>
            <w:fldChar w:fldCharType="begin"/>
          </w:r>
          <w:r>
            <w:instrText xml:space="preserve"> PAGEREF _Toc30463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_Toc20521 </w:instrText>
          </w:r>
          <w:r>
            <w:fldChar w:fldCharType="separate"/>
          </w:r>
          <w:r>
            <w:rPr>
              <w:rFonts w:hint="default"/>
            </w:rPr>
            <w:t xml:space="preserve">2.2.2. </w:t>
          </w:r>
          <w:r>
            <w:t>计划外中断</w:t>
          </w:r>
          <w:r>
            <w:tab/>
          </w:r>
          <w:r>
            <w:fldChar w:fldCharType="begin"/>
          </w:r>
          <w:r>
            <w:instrText xml:space="preserve"> PAGEREF _Toc20521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_Toc29320 </w:instrText>
          </w:r>
          <w:r>
            <w:fldChar w:fldCharType="separate"/>
          </w:r>
          <w:r>
            <w:rPr>
              <w:rFonts w:hint="default"/>
            </w:rPr>
            <w:t xml:space="preserve">2.2.3. </w:t>
          </w:r>
          <w:r>
            <w:t>年度中断汇总</w:t>
          </w:r>
          <w:r>
            <w:tab/>
          </w:r>
          <w:r>
            <w:fldChar w:fldCharType="begin"/>
          </w:r>
          <w:r>
            <w:instrText xml:space="preserve"> PAGEREF _Toc29320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_Toc7749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年度关键服务恢复目标达成情况</w:t>
          </w:r>
          <w:r>
            <w:tab/>
          </w:r>
          <w:r>
            <w:fldChar w:fldCharType="begin"/>
          </w:r>
          <w:r>
            <w:instrText xml:space="preserve"> PAGEREF _Toc7749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_Toc19757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年度风险评估与应对执行情况</w:t>
          </w:r>
          <w:r>
            <w:tab/>
          </w:r>
          <w:r>
            <w:fldChar w:fldCharType="begin"/>
          </w:r>
          <w:r>
            <w:instrText xml:space="preserve"> PAGEREF _Toc19757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_Toc10760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风险监控与预防情况</w:t>
          </w:r>
          <w:r>
            <w:tab/>
          </w:r>
          <w:r>
            <w:fldChar w:fldCharType="begin"/>
          </w:r>
          <w:r>
            <w:instrText xml:space="preserve"> PAGEREF _Toc10760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_Toc5872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预防性维护执行情况</w:t>
          </w:r>
          <w:r>
            <w:tab/>
          </w:r>
          <w:r>
            <w:fldChar w:fldCharType="begin"/>
          </w:r>
          <w:r>
            <w:instrText xml:space="preserve"> PAGEREF _Toc5872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_Toc17724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年度可用性监控与预警情况</w:t>
          </w:r>
          <w:r>
            <w:tab/>
          </w:r>
          <w:r>
            <w:fldChar w:fldCharType="begin"/>
          </w:r>
          <w:r>
            <w:instrText xml:space="preserve"> PAGEREF _Toc17724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_Toc7419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监控覆盖率</w:t>
          </w:r>
          <w:r>
            <w:tab/>
          </w:r>
          <w:r>
            <w:fldChar w:fldCharType="begin"/>
          </w:r>
          <w:r>
            <w:instrText xml:space="preserve"> PAGEREF _Toc7419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_Toc26826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告警统计</w:t>
          </w:r>
          <w:r>
            <w:tab/>
          </w:r>
          <w:r>
            <w:fldChar w:fldCharType="begin"/>
          </w:r>
          <w:r>
            <w:instrText xml:space="preserve"> PAGEREF _Toc26826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_Toc23406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年度连续性保障措施执行情况</w:t>
          </w:r>
          <w:r>
            <w:tab/>
          </w:r>
          <w:r>
            <w:fldChar w:fldCharType="begin"/>
          </w:r>
          <w:r>
            <w:instrText xml:space="preserve"> PAGEREF _Toc23406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_Toc21436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数据备份执行情况</w:t>
          </w:r>
          <w:r>
            <w:tab/>
          </w:r>
          <w:r>
            <w:fldChar w:fldCharType="begin"/>
          </w:r>
          <w:r>
            <w:instrText xml:space="preserve"> PAGEREF _Toc21436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_Toc17106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冗余配置使用情况</w:t>
          </w:r>
          <w:r>
            <w:tab/>
          </w:r>
          <w:r>
            <w:fldChar w:fldCharType="begin"/>
          </w:r>
          <w:r>
            <w:instrText xml:space="preserve"> PAGEREF _Toc17106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_Toc21374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年度可用性分析与改进情况</w:t>
          </w:r>
          <w:r>
            <w:tab/>
          </w:r>
          <w:r>
            <w:fldChar w:fldCharType="begin"/>
          </w:r>
          <w:r>
            <w:instrText xml:space="preserve"> PAGEREF _Toc21374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_Toc5602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季度可用性趋势</w:t>
          </w:r>
          <w:r>
            <w:tab/>
          </w:r>
          <w:r>
            <w:fldChar w:fldCharType="begin"/>
          </w:r>
          <w:r>
            <w:instrText xml:space="preserve"> PAGEREF _Toc5602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_Toc1776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年度改进措施落实情况</w:t>
          </w:r>
          <w:r>
            <w:tab/>
          </w:r>
          <w:r>
            <w:fldChar w:fldCharType="begin"/>
          </w:r>
          <w:r>
            <w:instrText xml:space="preserve"> PAGEREF _Toc1776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年度应急响应执行情况</w:t>
          </w:r>
          <w:r>
            <w:tab/>
          </w:r>
          <w:r>
            <w:fldChar w:fldCharType="begin"/>
          </w:r>
          <w:r>
            <w:instrText xml:space="preserve"> PAGEREF _Toc2753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_Toc15180 </w:instrText>
          </w:r>
          <w:r>
            <w:fldChar w:fldCharType="separate"/>
          </w:r>
          <w:r>
            <w:rPr>
              <w:rFonts w:hint="default"/>
            </w:rPr>
            <w:t xml:space="preserve">8.1. </w:t>
          </w:r>
          <w:r>
            <w:t>应急事件处理统计</w:t>
          </w:r>
          <w:r>
            <w:tab/>
          </w:r>
          <w:r>
            <w:fldChar w:fldCharType="begin"/>
          </w:r>
          <w:r>
            <w:instrText xml:space="preserve"> PAGEREF _Toc15180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_Toc29411 </w:instrText>
          </w:r>
          <w:r>
            <w:fldChar w:fldCharType="separate"/>
          </w:r>
          <w:r>
            <w:rPr>
              <w:rFonts w:hint="default"/>
            </w:rPr>
            <w:t xml:space="preserve">8.2. </w:t>
          </w:r>
          <w:r>
            <w:t>应急演练执行情况</w:t>
          </w:r>
          <w:r>
            <w:tab/>
          </w:r>
          <w:r>
            <w:fldChar w:fldCharType="begin"/>
          </w:r>
          <w:r>
            <w:instrText xml:space="preserve"> PAGEREF _Toc29411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年度总结与下年度计划</w:t>
          </w:r>
          <w:r>
            <w:tab/>
          </w:r>
          <w:r>
            <w:fldChar w:fldCharType="begin"/>
          </w:r>
          <w:r>
            <w:instrText xml:space="preserve"> PAGEREF _Toc14568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9.1. </w:t>
          </w:r>
          <w:r>
            <w:rPr>
              <w:rFonts w:hint="eastAsia"/>
              <w:lang w:val="en-US" w:eastAsia="zh-CN"/>
            </w:rPr>
            <w:t>年度总体评价</w:t>
          </w:r>
          <w:r>
            <w:tab/>
          </w:r>
          <w:r>
            <w:fldChar w:fldCharType="begin"/>
          </w:r>
          <w:r>
            <w:instrText xml:space="preserve"> PAGEREF _Toc1835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9.2. </w:t>
          </w:r>
          <w:r>
            <w:rPr>
              <w:rFonts w:hint="eastAsia"/>
              <w:lang w:val="en-US" w:eastAsia="zh-CN"/>
            </w:rPr>
            <w:t>年度亮点</w:t>
          </w:r>
          <w:r>
            <w:tab/>
          </w:r>
          <w:r>
            <w:fldChar w:fldCharType="begin"/>
          </w:r>
          <w:r>
            <w:instrText xml:space="preserve"> PAGEREF _Toc18268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9.3. </w:t>
          </w:r>
          <w:r>
            <w:rPr>
              <w:rFonts w:hint="eastAsia"/>
              <w:lang w:val="en-US" w:eastAsia="zh-CN"/>
            </w:rPr>
            <w:t>下年度计划</w:t>
          </w:r>
          <w:r>
            <w:tab/>
          </w:r>
          <w:r>
            <w:fldChar w:fldCharType="begin"/>
          </w:r>
          <w:r>
            <w:instrText xml:space="preserve"> PAGEREF _Toc8718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_Toc16317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年度服务可用性达成情况表</w:t>
      </w:r>
      <w:r>
        <w:tab/>
      </w:r>
      <w:r>
        <w:fldChar w:fldCharType="begin"/>
      </w:r>
      <w:r>
        <w:instrText xml:space="preserve"> PAGEREF _Toc16317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_Toc7326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年度计划内中断统计表</w:t>
      </w:r>
      <w:r>
        <w:tab/>
      </w:r>
      <w:r>
        <w:fldChar w:fldCharType="begin"/>
      </w:r>
      <w:r>
        <w:instrText xml:space="preserve"> PAGEREF _Toc7326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_Toc19619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计划外中断统计表</w:t>
      </w:r>
      <w:r>
        <w:tab/>
      </w:r>
      <w:r>
        <w:fldChar w:fldCharType="begin"/>
      </w:r>
      <w:r>
        <w:instrText xml:space="preserve"> PAGEREF _Toc19619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_Toc14910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年度中断汇总表</w:t>
      </w:r>
      <w:r>
        <w:tab/>
      </w:r>
      <w:r>
        <w:fldChar w:fldCharType="begin"/>
      </w:r>
      <w:r>
        <w:instrText xml:space="preserve"> PAGEREF _Toc14910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_Toc12796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年度关键服务恢复目标达成表</w:t>
      </w:r>
      <w:r>
        <w:tab/>
      </w:r>
      <w:r>
        <w:fldChar w:fldCharType="begin"/>
      </w:r>
      <w:r>
        <w:instrText xml:space="preserve"> PAGEREF _Toc12796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年度风险监控与预防表</w:t>
      </w:r>
      <w:r>
        <w:tab/>
      </w:r>
      <w:r>
        <w:fldChar w:fldCharType="begin"/>
      </w:r>
      <w:r>
        <w:instrText xml:space="preserve"> PAGEREF _Toc2075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_Toc3979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年度预防性维护统计表</w:t>
      </w:r>
      <w:r>
        <w:tab/>
      </w:r>
      <w:r>
        <w:fldChar w:fldCharType="begin"/>
      </w:r>
      <w:r>
        <w:instrText xml:space="preserve"> PAGEREF _Toc3979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_Toc5692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年度监控覆盖率统计表</w:t>
      </w:r>
      <w:r>
        <w:tab/>
      </w:r>
      <w:r>
        <w:fldChar w:fldCharType="begin"/>
      </w:r>
      <w:r>
        <w:instrText xml:space="preserve"> PAGEREF _Toc5692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_Toc30895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年度告警统计表</w:t>
      </w:r>
      <w:r>
        <w:tab/>
      </w:r>
      <w:r>
        <w:fldChar w:fldCharType="begin"/>
      </w:r>
      <w:r>
        <w:instrText xml:space="preserve"> PAGEREF _Toc30895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_Toc12054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年度数据备份执行统计表</w:t>
      </w:r>
      <w:r>
        <w:tab/>
      </w:r>
      <w:r>
        <w:fldChar w:fldCharType="begin"/>
      </w:r>
      <w:r>
        <w:instrText xml:space="preserve"> PAGEREF _Toc12054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年度冗余配置状态表</w:t>
      </w:r>
      <w:r>
        <w:tab/>
      </w:r>
      <w:r>
        <w:fldChar w:fldCharType="begin"/>
      </w:r>
      <w:r>
        <w:instrText xml:space="preserve"> PAGEREF _Toc2197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_Toc11611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季度可用性趋势表</w:t>
      </w:r>
      <w:r>
        <w:tab/>
      </w:r>
      <w:r>
        <w:fldChar w:fldCharType="begin"/>
      </w:r>
      <w:r>
        <w:instrText xml:space="preserve"> PAGEREF _Toc11611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年度改进措施跟踪表</w:t>
      </w:r>
      <w:r>
        <w:tab/>
      </w:r>
      <w:r>
        <w:fldChar w:fldCharType="begin"/>
      </w:r>
      <w:r>
        <w:instrText xml:space="preserve"> PAGEREF _Toc1708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_Toc25620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年度应急事件处理统计表</w:t>
      </w:r>
      <w:r>
        <w:tab/>
      </w:r>
      <w:r>
        <w:fldChar w:fldCharType="begin"/>
      </w:r>
      <w:r>
        <w:instrText xml:space="preserve"> PAGEREF _Toc25620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_Toc12121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年度应急演练执行统计表</w:t>
      </w:r>
      <w:r>
        <w:tab/>
      </w:r>
      <w:r>
        <w:fldChar w:fldCharType="begin"/>
      </w:r>
      <w:r>
        <w:instrText xml:space="preserve"> PAGEREF _Toc12121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_Toc19695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指标完成进度表</w:t>
      </w:r>
      <w:r>
        <w:tab/>
      </w:r>
      <w:r>
        <w:fldChar w:fldCharType="begin"/>
      </w:r>
      <w:r>
        <w:instrText xml:space="preserve"> PAGEREF _Toc19695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_Toc29933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下年度重点计划</w:t>
      </w:r>
      <w:r>
        <w:t>表</w:t>
      </w:r>
      <w:r>
        <w:tab/>
      </w:r>
      <w:r>
        <w:fldChar w:fldCharType="begin"/>
      </w:r>
      <w:r>
        <w:instrText xml:space="preserve"> PAGEREF _Toc29933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12735"/>
      <w:bookmarkStart w:id="2" w:name="heading_2"/>
      <w:r>
        <w:t>报告概述</w:t>
      </w:r>
      <w:bookmarkEnd w:id="1"/>
      <w:bookmarkEnd w:id="2"/>
    </w:p>
    <w:p>
      <w:pPr>
        <w:pStyle w:val="2"/>
        <w:bidi w:val="0"/>
      </w:pPr>
      <w:bookmarkStart w:id="3" w:name="heading_3"/>
      <w:bookmarkStart w:id="4" w:name="_Toc22876"/>
      <w:r>
        <w:t>报告基本信息</w:t>
      </w:r>
      <w:bookmarkEnd w:id="3"/>
      <w:bookmarkEnd w:id="4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04"/>
        <w:gridCol w:w="6291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29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项目名称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2025年国电电力湖南新能源系统运维项目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报告周期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2025年1月- 2025年12月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报告类型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年度可用性管理报告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报告责任人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运维项目经理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报告审核人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运维部经理</w:t>
            </w:r>
          </w:p>
        </w:tc>
      </w:tr>
    </w:tbl>
    <w:p>
      <w:pPr>
        <w:pStyle w:val="2"/>
        <w:bidi w:val="0"/>
      </w:pPr>
      <w:bookmarkStart w:id="5" w:name="_Toc23348"/>
      <w:bookmarkStart w:id="6" w:name="heading_4"/>
      <w:r>
        <w:t>报告目的</w:t>
      </w:r>
      <w:bookmarkEnd w:id="5"/>
      <w:bookmarkEnd w:id="6"/>
    </w:p>
    <w:p>
      <w:pPr>
        <w:pStyle w:val="a2"/>
        <w:bidi w:val="0"/>
      </w:pPr>
      <w:r>
        <w:t>本报告旨在总结《2025年国电电力湖南新能源系统运维项目》项目在2025年度内的服务可用性和连续性管理情况，评估全年可用性目标达成情况，总结运维成效，为下一年度服务优化提供依据，确保服务持续满足SLA要求。</w:t>
      </w:r>
    </w:p>
    <w:p>
      <w:pPr>
        <w:pStyle w:val="1"/>
        <w:bidi w:val="0"/>
      </w:pPr>
      <w:bookmarkStart w:id="7" w:name="heading_5"/>
      <w:bookmarkStart w:id="8" w:name="_Toc17810"/>
      <w:r>
        <w:t>年度可用性达成情况</w:t>
      </w:r>
      <w:bookmarkEnd w:id="7"/>
      <w:bookmarkEnd w:id="8"/>
    </w:p>
    <w:p>
      <w:pPr>
        <w:pStyle w:val="2"/>
        <w:bidi w:val="0"/>
      </w:pPr>
      <w:bookmarkStart w:id="9" w:name="_Toc26868"/>
      <w:bookmarkStart w:id="10" w:name="heading_6"/>
      <w:r>
        <w:t>服务可用性统计</w:t>
      </w:r>
      <w:bookmarkEnd w:id="9"/>
      <w:bookmarkEnd w:id="10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16317"/>
      <w:r>
        <w:rPr>
          <w:rFonts w:hint="default"/>
          <w:lang w:val="en-US" w:eastAsia="zh-CN"/>
        </w:rPr>
        <w:t xml:space="preserve"> </w:t>
      </w:r>
      <w:r>
        <w:t>年度服务可用性达成情况表</w:t>
      </w:r>
      <w:bookmarkEnd w:id="11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371"/>
        <w:gridCol w:w="1852"/>
        <w:gridCol w:w="1130"/>
        <w:gridCol w:w="1476"/>
        <w:gridCol w:w="1326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13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可用性目标</w:t>
            </w:r>
          </w:p>
        </w:tc>
        <w:tc>
          <w:tcPr>
            <w:tcW w:w="18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年度实际可用性</w:t>
            </w:r>
          </w:p>
        </w:tc>
        <w:tc>
          <w:tcPr>
            <w:tcW w:w="11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  <w:tc>
          <w:tcPr>
            <w:tcW w:w="14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不可用时间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3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≥99.0%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≥98.0%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</w:tbl>
    <w:p>
      <w:pPr>
        <w:pStyle w:val="a4"/>
        <w:bidi w:val="0"/>
        <w:jc w:val="left"/>
      </w:pPr>
      <w:r>
        <w:t>可用性计算公式：可用性 = （约定服务时间 - 不可用时间）/ 约定服务时间 × 100%</w:t>
      </w:r>
    </w:p>
    <w:p>
      <w:pPr>
        <w:pStyle w:val="a4"/>
        <w:bidi w:val="0"/>
        <w:jc w:val="left"/>
      </w:pPr>
      <w:r>
        <w:t>约定服务时间：7×24小时 × 365天 = 525,600分钟</w:t>
      </w:r>
    </w:p>
    <w:p>
      <w:pPr>
        <w:pStyle w:val="2"/>
        <w:bidi w:val="0"/>
      </w:pPr>
      <w:bookmarkStart w:id="12" w:name="heading_7"/>
      <w:bookmarkStart w:id="13" w:name="_Toc203"/>
      <w:r>
        <w:t>年度服务中断事件汇总</w:t>
      </w:r>
      <w:bookmarkEnd w:id="12"/>
      <w:bookmarkEnd w:id="13"/>
    </w:p>
    <w:p>
      <w:pPr>
        <w:pStyle w:val="3"/>
        <w:bidi w:val="0"/>
      </w:pPr>
      <w:bookmarkStart w:id="14" w:name="_Toc30463"/>
      <w:bookmarkStart w:id="15" w:name="heading_8"/>
      <w:r>
        <w:t>计划内中断</w:t>
      </w:r>
      <w:bookmarkEnd w:id="14"/>
      <w:bookmarkEnd w:id="15"/>
    </w:p>
    <w:p>
      <w:pPr>
        <w:pStyle w:val="a2"/>
        <w:bidi w:val="0"/>
      </w:pPr>
      <w:r>
        <w:t>计划内中断指经客户确认、提前通知的例行维护、系统升级、硬件更换等计划性操作造成的服务不可用时间。所有计划内中断均提前通知客户，安排在业务低谷期执行。</w:t>
      </w:r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6" w:name="_Toc7326"/>
      <w:r>
        <w:rPr>
          <w:rFonts w:hint="default"/>
          <w:lang w:val="en-US" w:eastAsia="zh-CN"/>
        </w:rPr>
        <w:t xml:space="preserve"> </w:t>
      </w:r>
      <w:r>
        <w:t>年度计划内中断统计表</w:t>
      </w:r>
      <w:bookmarkEnd w:id="16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1"/>
        <w:gridCol w:w="1172"/>
        <w:gridCol w:w="1611"/>
        <w:gridCol w:w="1801"/>
        <w:gridCol w:w="3020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1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中断次数</w:t>
            </w:r>
          </w:p>
        </w:tc>
        <w:tc>
          <w:tcPr>
            <w:tcW w:w="161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80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30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主要中断原因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系统补丁更新、操作系统升级、固件升级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22.5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数据库优化、硬件维护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23.3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系统版本升级、网络设备维护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年终备份、系统健康检查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215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  <w:r>
              <w:rPr>
                <w:b/>
              </w:rPr>
              <w:t>21.5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</w:p>
        </w:tc>
      </w:tr>
    </w:tbl>
    <w:p>
      <w:pPr>
        <w:pStyle w:val="a2"/>
        <w:bidi w:val="0"/>
      </w:pPr>
      <w:r>
        <w:t>计划内中断说明：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所有计划内中断均提前24小时通知客户，经客户确认后执行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中断时间安排在业务低谷期（如夜间或周末）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计划内中断时长计入可用性计算，但经客户确认后不作为SLA考核的扣分项</w:t>
      </w:r>
    </w:p>
    <w:p>
      <w:pPr>
        <w:pStyle w:val="3"/>
        <w:bidi w:val="0"/>
      </w:pPr>
      <w:bookmarkStart w:id="17" w:name="heading_9"/>
      <w:bookmarkStart w:id="18" w:name="_Toc20521"/>
      <w:r>
        <w:t>计划外中断</w:t>
      </w:r>
      <w:bookmarkEnd w:id="17"/>
      <w:bookmarkEnd w:id="18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9" w:name="_Toc19619"/>
      <w:r>
        <w:rPr>
          <w:rFonts w:hint="default"/>
          <w:lang w:val="en-US" w:eastAsia="zh-CN"/>
        </w:rPr>
        <w:t xml:space="preserve"> </w:t>
      </w:r>
      <w:r>
        <w:t>计划外中断统计表</w:t>
      </w:r>
      <w:bookmarkEnd w:id="19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16"/>
        <w:gridCol w:w="1532"/>
        <w:gridCol w:w="3078"/>
        <w:gridCol w:w="2769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中断次数</w:t>
            </w:r>
          </w:p>
        </w:tc>
        <w:tc>
          <w:tcPr>
            <w:tcW w:w="307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总中断时长（分钟）</w:t>
            </w:r>
          </w:p>
        </w:tc>
        <w:tc>
          <w:tcPr>
            <w:tcW w:w="276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主要原因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Q1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Q2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Q3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Q4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全年无计划外中断</w:t>
            </w:r>
          </w:p>
        </w:tc>
      </w:tr>
    </w:tbl>
    <w:p>
      <w:pPr>
        <w:pStyle w:val="3"/>
        <w:bidi w:val="0"/>
      </w:pPr>
      <w:bookmarkStart w:id="20" w:name="_Toc29320"/>
      <w:bookmarkStart w:id="21" w:name="heading_10"/>
      <w:r>
        <w:t>年度中断汇总</w:t>
      </w:r>
      <w:bookmarkEnd w:id="20"/>
      <w:bookmarkEnd w:id="2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2" w:name="_Toc14910"/>
      <w:r>
        <w:rPr>
          <w:rFonts w:hint="default"/>
          <w:lang w:val="en-US" w:eastAsia="zh-CN"/>
        </w:rPr>
        <w:t xml:space="preserve"> </w:t>
      </w:r>
      <w:r>
        <w:t>年度中断汇总表</w:t>
      </w:r>
      <w:bookmarkEnd w:id="22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28"/>
        <w:gridCol w:w="1189"/>
        <w:gridCol w:w="1915"/>
        <w:gridCol w:w="2126"/>
        <w:gridCol w:w="1637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2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中断类型</w:t>
            </w:r>
          </w:p>
        </w:tc>
        <w:tc>
          <w:tcPr>
            <w:tcW w:w="11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9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63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占比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（按次数）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计划内中断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10次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215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21.5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计划外中断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10次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215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21.5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23" w:name="heading_11"/>
      <w:bookmarkStart w:id="24" w:name="_Toc7749"/>
      <w:r>
        <w:t>年度关键服务恢复目标达成情况</w:t>
      </w:r>
      <w:bookmarkEnd w:id="23"/>
      <w:bookmarkEnd w:id="2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2796"/>
      <w:r>
        <w:rPr>
          <w:rFonts w:hint="default"/>
          <w:lang w:val="en-US" w:eastAsia="zh-CN"/>
        </w:rPr>
        <w:t xml:space="preserve"> </w:t>
      </w:r>
      <w:r>
        <w:t>年度关键服务恢复目标达成表</w:t>
      </w:r>
      <w:bookmarkEnd w:id="25"/>
    </w:p>
    <w:tbl>
      <w:tblPr>
        <w:tblStyle w:val="TableNormal"/>
        <w:tblW w:w="860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1128"/>
        <w:gridCol w:w="2308"/>
        <w:gridCol w:w="1141"/>
        <w:gridCol w:w="1585"/>
        <w:gridCol w:w="1103"/>
      </w:tblGrid>
      <w:tr>
        <w:tblPrEx>
          <w:tblW w:w="860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服务名称</w:t>
            </w:r>
          </w:p>
        </w:tc>
        <w:tc>
          <w:tcPr>
            <w:tcW w:w="112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RTO目标</w:t>
            </w:r>
          </w:p>
        </w:tc>
        <w:tc>
          <w:tcPr>
            <w:tcW w:w="23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计划内中断恢复时间</w:t>
            </w:r>
          </w:p>
        </w:tc>
        <w:tc>
          <w:tcPr>
            <w:tcW w:w="114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RPO目标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数据丢失情况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新能源系统核心服务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无数据丢失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无数据丢失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服务器运行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网络连通性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数据采集服务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监控显示服务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数据接口服务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</w:tbl>
    <w:p>
      <w:pPr>
        <w:pStyle w:val="a4"/>
        <w:bidi w:val="0"/>
        <w:jc w:val="left"/>
      </w:pPr>
      <w:r>
        <w:t>结论：全年无计划外中断，所有计划内维护均在约定窗口内完成，数据备份有效，未发生数据丢失事件。</w:t>
      </w:r>
    </w:p>
    <w:p>
      <w:pPr>
        <w:pStyle w:val="1"/>
        <w:bidi w:val="0"/>
      </w:pPr>
      <w:bookmarkStart w:id="26" w:name="_Toc19757"/>
      <w:bookmarkStart w:id="27" w:name="heading_0"/>
      <w:r>
        <w:t>年度风险评估与应对执行情况</w:t>
      </w:r>
      <w:bookmarkEnd w:id="26"/>
      <w:bookmarkEnd w:id="27"/>
    </w:p>
    <w:p>
      <w:pPr>
        <w:pStyle w:val="2"/>
        <w:bidi w:val="0"/>
      </w:pPr>
      <w:bookmarkStart w:id="28" w:name="heading_1"/>
      <w:bookmarkStart w:id="29" w:name="_Toc10760"/>
      <w:r>
        <w:t>风险监控与预防情况</w:t>
      </w:r>
      <w:bookmarkEnd w:id="28"/>
      <w:bookmarkEnd w:id="29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075"/>
      <w:r>
        <w:rPr>
          <w:rFonts w:hint="default"/>
          <w:lang w:val="en-US" w:eastAsia="zh-CN"/>
        </w:rPr>
        <w:t xml:space="preserve"> </w:t>
      </w:r>
      <w:r>
        <w:t>年度风险监控与预防表</w:t>
      </w:r>
      <w:bookmarkEnd w:id="30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01"/>
        <w:gridCol w:w="1124"/>
        <w:gridCol w:w="2333"/>
        <w:gridCol w:w="1124"/>
        <w:gridCol w:w="2113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2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预防措施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执行情况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效果评估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服务器硬件故障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每日巡检，备用服务器，定期更换老化部件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有效，无故障发生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网络中断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每日检查连通性，备用线路，定期测试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有效，无中断发生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数据库损坏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每日自动备份，每周验证，双机热备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有效，无损坏发生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软件Bug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每日检查日志，及时升级补丁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有效，及时处理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现场设备故障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每月巡检，备用设备，定期保养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有效，故障在巡检中发现并处理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机房断电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UPS配置，定期测试，发电机备用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有效，无断电影响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病毒攻击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防病毒软件，定期扫描，权限管控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有效，无攻击事件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操作失误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低风险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操作培训，双人复核，操作记录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有效，失误率极低</w:t>
            </w:r>
          </w:p>
        </w:tc>
      </w:tr>
    </w:tbl>
    <w:p>
      <w:pPr>
        <w:pStyle w:val="2"/>
        <w:bidi w:val="0"/>
      </w:pPr>
      <w:bookmarkStart w:id="31" w:name="_Toc5872"/>
      <w:r>
        <w:t>预防性维护执行情况</w:t>
      </w:r>
      <w:bookmarkEnd w:id="3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2" w:name="_Toc3979"/>
      <w:r>
        <w:rPr>
          <w:rFonts w:hint="default"/>
          <w:lang w:val="en-US" w:eastAsia="zh-CN"/>
        </w:rPr>
        <w:t xml:space="preserve"> </w:t>
      </w:r>
      <w:r>
        <w:t>年度预防性维护统计表</w:t>
      </w:r>
      <w:bookmarkEnd w:id="32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175"/>
        <w:gridCol w:w="1355"/>
        <w:gridCol w:w="1355"/>
        <w:gridCol w:w="1081"/>
        <w:gridCol w:w="2329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17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维护类型</w:t>
            </w:r>
          </w:p>
        </w:tc>
        <w:tc>
          <w:tcPr>
            <w:tcW w:w="135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计划次数</w:t>
            </w:r>
          </w:p>
        </w:tc>
        <w:tc>
          <w:tcPr>
            <w:tcW w:w="135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实际次数</w:t>
            </w:r>
          </w:p>
        </w:tc>
        <w:tc>
          <w:tcPr>
            <w:tcW w:w="10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完成率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发现并处理问题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服务器巡检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365</w:t>
            </w:r>
            <w:r>
              <w:rPr>
                <w:sz w:val="21"/>
                <w:szCs w:val="21"/>
              </w:rPr>
              <w:t>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365</w:t>
            </w:r>
            <w:r>
              <w:rPr>
                <w:sz w:val="21"/>
                <w:szCs w:val="21"/>
              </w:rPr>
              <w:t>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预警处理3次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网络设备巡检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365</w:t>
            </w:r>
            <w:r>
              <w:rPr>
                <w:sz w:val="21"/>
                <w:szCs w:val="21"/>
              </w:rPr>
              <w:t>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365</w:t>
            </w:r>
            <w:r>
              <w:rPr>
                <w:sz w:val="21"/>
                <w:szCs w:val="21"/>
              </w:rPr>
              <w:t>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预警处理2次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现场设备巡检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更换老化设备5台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数据库健康检查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优化建议4项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备份恢复验证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全部成功</w:t>
            </w:r>
          </w:p>
        </w:tc>
      </w:tr>
    </w:tbl>
    <w:p>
      <w:pPr>
        <w:pStyle w:val="1"/>
        <w:bidi w:val="0"/>
      </w:pPr>
      <w:bookmarkStart w:id="33" w:name="_Toc17724"/>
      <w:r>
        <w:t>年度可用性监控与预警情况</w:t>
      </w:r>
      <w:bookmarkEnd w:id="33"/>
    </w:p>
    <w:p>
      <w:pPr>
        <w:pStyle w:val="2"/>
        <w:bidi w:val="0"/>
      </w:pPr>
      <w:bookmarkStart w:id="34" w:name="_Toc7419"/>
      <w:r>
        <w:t>监控覆盖率</w:t>
      </w:r>
      <w:bookmarkEnd w:id="3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5" w:name="_Toc5692"/>
      <w:r>
        <w:rPr>
          <w:rFonts w:hint="default"/>
          <w:lang w:val="en-US" w:eastAsia="zh-CN"/>
        </w:rPr>
        <w:t xml:space="preserve"> </w:t>
      </w:r>
      <w:r>
        <w:t>年度监控覆盖率统计表</w:t>
      </w:r>
      <w:bookmarkEnd w:id="35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68"/>
        <w:gridCol w:w="1054"/>
        <w:gridCol w:w="1424"/>
        <w:gridCol w:w="939"/>
        <w:gridCol w:w="3310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6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监控对象</w:t>
            </w:r>
          </w:p>
        </w:tc>
        <w:tc>
          <w:tcPr>
            <w:tcW w:w="10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计划监控项</w:t>
            </w:r>
          </w:p>
        </w:tc>
        <w:tc>
          <w:tcPr>
            <w:tcW w:w="14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实际监控项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覆盖率</w:t>
            </w:r>
          </w:p>
        </w:tc>
        <w:tc>
          <w:tcPr>
            <w:tcW w:w="331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CPU、内存、磁盘、服务状态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连通性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服务可用性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连接数、表空间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人工巡检</w:t>
            </w:r>
          </w:p>
        </w:tc>
      </w:tr>
    </w:tbl>
    <w:p>
      <w:pPr>
        <w:pStyle w:val="2"/>
        <w:bidi w:val="0"/>
      </w:pPr>
      <w:bookmarkStart w:id="36" w:name="_Toc26826"/>
      <w:r>
        <w:t>告警统计</w:t>
      </w:r>
      <w:bookmarkEnd w:id="36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7" w:name="_Toc30895"/>
      <w:r>
        <w:rPr>
          <w:rFonts w:hint="default"/>
          <w:lang w:val="en-US" w:eastAsia="zh-CN"/>
        </w:rPr>
        <w:t xml:space="preserve"> </w:t>
      </w:r>
      <w:r>
        <w:t>年度告警统计表</w:t>
      </w:r>
      <w:bookmarkEnd w:id="37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64"/>
        <w:gridCol w:w="2391"/>
        <w:gridCol w:w="1164"/>
        <w:gridCol w:w="1645"/>
        <w:gridCol w:w="1931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6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告警级别</w:t>
            </w:r>
          </w:p>
        </w:tc>
        <w:tc>
          <w:tcPr>
            <w:tcW w:w="23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16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6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9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处理结果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一级告警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服务中断，影响业务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-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二级告警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性能下降，影响用户体验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15分钟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预警处理，未发展为中断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三级告警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预警信息，需关注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28次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30分钟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预防性处理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38" w:name="_Toc23406"/>
      <w:r>
        <w:t>年度连续性保障措施执行情况</w:t>
      </w:r>
      <w:bookmarkEnd w:id="38"/>
    </w:p>
    <w:p>
      <w:pPr>
        <w:pStyle w:val="2"/>
        <w:bidi w:val="0"/>
      </w:pPr>
      <w:bookmarkStart w:id="39" w:name="_Toc21436"/>
      <w:r>
        <w:t>数据备份执行情况</w:t>
      </w:r>
      <w:bookmarkEnd w:id="39"/>
    </w:p>
    <w:p>
      <w:pPr>
        <w:pStyle w:val="a4"/>
        <w:keepNext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12054"/>
      <w:r>
        <w:rPr>
          <w:rFonts w:hint="default"/>
          <w:lang w:val="en-US" w:eastAsia="zh-CN"/>
        </w:rPr>
        <w:t xml:space="preserve"> </w:t>
      </w:r>
      <w:r>
        <w:t>年度数据备份执行统计表</w:t>
      </w:r>
      <w:bookmarkEnd w:id="40"/>
    </w:p>
    <w:tbl>
      <w:tblPr>
        <w:tblStyle w:val="TableNormal"/>
        <w:tblW w:w="854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1585"/>
        <w:gridCol w:w="1585"/>
        <w:gridCol w:w="862"/>
        <w:gridCol w:w="1585"/>
        <w:gridCol w:w="1344"/>
      </w:tblGrid>
      <w:tr>
        <w:tblPrEx>
          <w:tblW w:w="8541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备份对象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计划备份次数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成功备份次数</w:t>
            </w:r>
          </w:p>
        </w:tc>
        <w:tc>
          <w:tcPr>
            <w:tcW w:w="8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成功率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恢复验证次数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恢复成功率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新能源系统数据库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系统配置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日志文件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52次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不适用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现场设备配置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不适用</w:t>
            </w:r>
          </w:p>
        </w:tc>
      </w:tr>
    </w:tbl>
    <w:p>
      <w:pPr>
        <w:pStyle w:val="2"/>
        <w:bidi w:val="0"/>
      </w:pPr>
      <w:bookmarkStart w:id="41" w:name="_Toc17106"/>
      <w:r>
        <w:t>冗余配置使用情况</w:t>
      </w:r>
      <w:bookmarkEnd w:id="4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2" w:name="_Toc2197"/>
      <w:r>
        <w:rPr>
          <w:rFonts w:hint="default"/>
          <w:lang w:val="en-US" w:eastAsia="zh-CN"/>
        </w:rPr>
        <w:t xml:space="preserve"> </w:t>
      </w:r>
      <w:r>
        <w:t>年度冗余配置状态表</w:t>
      </w:r>
      <w:bookmarkEnd w:id="42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2072"/>
        <w:gridCol w:w="1035"/>
        <w:gridCol w:w="1732"/>
        <w:gridCol w:w="1732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冗余方式</w:t>
            </w:r>
          </w:p>
        </w:tc>
        <w:tc>
          <w:tcPr>
            <w:tcW w:w="10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73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测试次数</w:t>
            </w:r>
          </w:p>
        </w:tc>
        <w:tc>
          <w:tcPr>
            <w:tcW w:w="173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测试结果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备用服务器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正常切换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备用线路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正常切换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备件库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充足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备件充足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异地备份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数据完整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43" w:name="_Toc21374"/>
      <w:r>
        <w:t>年度可用性分析与改进情况</w:t>
      </w:r>
      <w:bookmarkEnd w:id="43"/>
    </w:p>
    <w:p>
      <w:pPr>
        <w:pStyle w:val="2"/>
        <w:bidi w:val="0"/>
      </w:pPr>
      <w:bookmarkStart w:id="44" w:name="_Toc5602"/>
      <w:r>
        <w:t>季度可用性趋势</w:t>
      </w:r>
      <w:bookmarkEnd w:id="4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5" w:name="_Toc11611"/>
      <w:r>
        <w:rPr>
          <w:rFonts w:hint="default"/>
          <w:lang w:val="en-US" w:eastAsia="zh-CN"/>
        </w:rPr>
        <w:t xml:space="preserve"> </w:t>
      </w:r>
      <w:r>
        <w:t>季度可用性趋势表</w:t>
      </w:r>
      <w:bookmarkEnd w:id="45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70"/>
        <w:gridCol w:w="1836"/>
        <w:gridCol w:w="1546"/>
        <w:gridCol w:w="1821"/>
        <w:gridCol w:w="1822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季度</w:t>
            </w:r>
          </w:p>
        </w:tc>
        <w:tc>
          <w:tcPr>
            <w:tcW w:w="18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新能源系统</w:t>
            </w:r>
          </w:p>
        </w:tc>
        <w:tc>
          <w:tcPr>
            <w:tcW w:w="15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服务器</w:t>
            </w:r>
          </w:p>
        </w:tc>
        <w:tc>
          <w:tcPr>
            <w:tcW w:w="182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网络设备</w:t>
            </w:r>
          </w:p>
        </w:tc>
        <w:tc>
          <w:tcPr>
            <w:tcW w:w="18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现场设备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Q1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Q3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Q4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</w:tbl>
    <w:p>
      <w:pPr>
        <w:pStyle w:val="a4"/>
        <w:bidi w:val="0"/>
        <w:jc w:val="left"/>
      </w:pPr>
      <w:r>
        <w:t>趋势分析结论：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全年所有服务可用性均达到100%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预防性维护和监控预警机制有效保障了服务连续性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计划内维护均在客户确认的窗口内完成，未对业务造成影响</w:t>
      </w:r>
    </w:p>
    <w:p>
      <w:pPr>
        <w:pStyle w:val="2"/>
        <w:bidi w:val="0"/>
      </w:pPr>
      <w:bookmarkStart w:id="46" w:name="_Toc1776"/>
      <w:r>
        <w:t>年度改进措施落实情况</w:t>
      </w:r>
      <w:bookmarkEnd w:id="46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7" w:name="_Toc1708"/>
      <w:r>
        <w:rPr>
          <w:rFonts w:hint="default"/>
          <w:lang w:val="en-US" w:eastAsia="zh-CN"/>
        </w:rPr>
        <w:t xml:space="preserve"> </w:t>
      </w:r>
      <w:r>
        <w:t>年度改进措施跟踪表</w:t>
      </w:r>
      <w:bookmarkEnd w:id="47"/>
    </w:p>
    <w:tbl>
      <w:tblPr>
        <w:tblStyle w:val="TableNormal"/>
        <w:tblW w:w="931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637"/>
        <w:gridCol w:w="1340"/>
        <w:gridCol w:w="1585"/>
        <w:gridCol w:w="1585"/>
        <w:gridCol w:w="1220"/>
        <w:gridCol w:w="1327"/>
      </w:tblGrid>
      <w:tr>
        <w:tblPrEx>
          <w:tblW w:w="931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2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效果验证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优化新能源系统内存配置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2025.4.15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2025.4.10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系统稳定性提升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增加现场设备备件储备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备件库专员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2025.4.30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2025.4.25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故障响应时间缩短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组织数据库故障实战演练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2025.6.30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2025.6.28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演练达标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优化数据库查询性能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2025.8.31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2025.8.20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响应时间提升20%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网络设备预防性更换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2025.10.31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2025.10.15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网络稳定性提升</w:t>
            </w:r>
          </w:p>
        </w:tc>
      </w:tr>
    </w:tbl>
    <w:p>
      <w:pPr>
        <w:pStyle w:val="1"/>
        <w:bidi w:val="0"/>
      </w:pPr>
      <w:bookmarkStart w:id="48" w:name="heading_12"/>
      <w:bookmarkStart w:id="49" w:name="_Toc2753"/>
      <w:r>
        <w:t>年度应急响应执行情况</w:t>
      </w:r>
      <w:bookmarkEnd w:id="48"/>
      <w:bookmarkEnd w:id="49"/>
    </w:p>
    <w:p>
      <w:pPr>
        <w:pStyle w:val="2"/>
        <w:bidi w:val="0"/>
      </w:pPr>
      <w:bookmarkStart w:id="50" w:name="_Toc15180"/>
      <w:bookmarkStart w:id="51" w:name="heading_13"/>
      <w:r>
        <w:t>应急事件处理统计</w:t>
      </w:r>
      <w:bookmarkEnd w:id="50"/>
      <w:bookmarkEnd w:id="5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25620"/>
      <w:r>
        <w:rPr>
          <w:rFonts w:hint="default"/>
          <w:lang w:val="en-US" w:eastAsia="zh-CN"/>
        </w:rPr>
        <w:t xml:space="preserve"> </w:t>
      </w:r>
      <w:r>
        <w:t>年度应急事件处理统计表</w:t>
      </w:r>
      <w:bookmarkEnd w:id="52"/>
    </w:p>
    <w:tbl>
      <w:tblPr>
        <w:tblStyle w:val="TableNormal"/>
        <w:tblW w:w="920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3"/>
        <w:gridCol w:w="2243"/>
        <w:gridCol w:w="1103"/>
        <w:gridCol w:w="1585"/>
        <w:gridCol w:w="1585"/>
        <w:gridCol w:w="1585"/>
      </w:tblGrid>
      <w:tr>
        <w:tblPrEx>
          <w:tblW w:w="920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事件等级</w:t>
            </w:r>
          </w:p>
        </w:tc>
        <w:tc>
          <w:tcPr>
            <w:tcW w:w="22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平均恢复时间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是否启动预案</w:t>
            </w:r>
          </w:p>
        </w:tc>
      </w:tr>
      <w:tr>
        <w:tblPrEx>
          <w:tblW w:w="920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一级事件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服务中断，影响业务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-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-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否</w:t>
            </w:r>
          </w:p>
        </w:tc>
      </w:tr>
      <w:tr>
        <w:tblPrEx>
          <w:tblW w:w="920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二级事件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性能下降，影响用户体验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15分钟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30分钟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否</w:t>
            </w:r>
          </w:p>
        </w:tc>
      </w:tr>
      <w:tr>
        <w:tblPrEx>
          <w:tblW w:w="920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三级事件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预警信息，需关注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28次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30分钟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否</w:t>
            </w:r>
          </w:p>
        </w:tc>
      </w:tr>
    </w:tbl>
    <w:p>
      <w:pPr>
        <w:pStyle w:val="2"/>
        <w:bidi w:val="0"/>
      </w:pPr>
      <w:bookmarkStart w:id="53" w:name="heading_14"/>
      <w:bookmarkStart w:id="54" w:name="_Toc29411"/>
      <w:r>
        <w:t>应急演练执行情况</w:t>
      </w:r>
      <w:bookmarkEnd w:id="53"/>
      <w:bookmarkEnd w:id="5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5" w:name="_Toc12121"/>
      <w:r>
        <w:rPr>
          <w:rFonts w:hint="default"/>
          <w:lang w:val="en-US" w:eastAsia="zh-CN"/>
        </w:rPr>
        <w:t xml:space="preserve"> </w:t>
      </w:r>
      <w:r>
        <w:t>年度应急演练执行统计表</w:t>
      </w:r>
      <w:bookmarkEnd w:id="55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66"/>
        <w:gridCol w:w="935"/>
        <w:gridCol w:w="894"/>
        <w:gridCol w:w="1795"/>
        <w:gridCol w:w="2346"/>
        <w:gridCol w:w="1159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6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演练类型</w:t>
            </w:r>
          </w:p>
        </w:tc>
        <w:tc>
          <w:tcPr>
            <w:tcW w:w="9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计划次数</w:t>
            </w:r>
          </w:p>
        </w:tc>
        <w:tc>
          <w:tcPr>
            <w:tcW w:w="89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实际次数</w:t>
            </w:r>
          </w:p>
        </w:tc>
        <w:tc>
          <w:tcPr>
            <w:tcW w:w="179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演练日期</w:t>
            </w:r>
          </w:p>
        </w:tc>
        <w:tc>
          <w:tcPr>
            <w:tcW w:w="23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演练内容</w:t>
            </w:r>
          </w:p>
        </w:tc>
        <w:tc>
          <w:tcPr>
            <w:tcW w:w="115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评估结果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实战演练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1次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1次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2025.6.28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数据库故障恢复演练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优秀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次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次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6" w:name="_Toc14568"/>
      <w:r>
        <w:rPr>
          <w:rFonts w:hint="eastAsia"/>
          <w:lang w:val="en-US" w:eastAsia="zh-CN"/>
        </w:rPr>
        <w:t>年度总结与下年度计划</w:t>
      </w:r>
      <w:bookmarkEnd w:id="56"/>
    </w:p>
    <w:p>
      <w:pPr>
        <w:pStyle w:val="2"/>
        <w:bidi w:val="0"/>
        <w:rPr>
          <w:rFonts w:hint="eastAsia"/>
          <w:lang w:val="en-US" w:eastAsia="zh-CN"/>
        </w:rPr>
      </w:pPr>
      <w:bookmarkStart w:id="57" w:name="_Toc1835"/>
      <w:r>
        <w:rPr>
          <w:rFonts w:hint="eastAsia"/>
          <w:lang w:val="en-US" w:eastAsia="zh-CN"/>
        </w:rPr>
        <w:t>年度总体评价</w:t>
      </w:r>
      <w:bookmarkEnd w:id="57"/>
    </w:p>
    <w:p>
      <w:pPr>
        <w:pStyle w:val="a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8" w:name="_Toc1969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指标完成进度表</w:t>
      </w:r>
      <w:bookmarkEnd w:id="58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1"/>
        <w:gridCol w:w="1782"/>
        <w:gridCol w:w="4612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9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评价项</w:t>
            </w:r>
          </w:p>
        </w:tc>
        <w:tc>
          <w:tcPr>
            <w:tcW w:w="178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评价结果</w:t>
            </w:r>
          </w:p>
        </w:tc>
        <w:tc>
          <w:tcPr>
            <w:tcW w:w="46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可用性目标达成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达标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所有服务可用性达到100%，优于目标值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恢复目标达成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达标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所有计划内维护均在约定窗口内完成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风险管控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风险识别全面，预防措施有效，无风险发生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监控预警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监控覆盖率100%，预警处理及时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连续性保障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备份成功率100%，冗余配置就绪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bookmarkStart w:id="59" w:name="_GoBack"/>
            <w:bookmarkEnd w:id="59"/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应急事件处理及时，演练按计划完成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60" w:name="_Toc18268"/>
      <w:r>
        <w:rPr>
          <w:rFonts w:hint="eastAsia"/>
          <w:lang w:val="en-US" w:eastAsia="zh-CN"/>
        </w:rPr>
        <w:t>年度亮点</w:t>
      </w:r>
      <w:bookmarkEnd w:id="60"/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全年无计划外中断：通过完善的预防性维护和监控预警机制，全年未发生计划外服务中断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可用性100%达成：所有服务可用性均达到100%，超额完成SLA目标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备份成功率100%：全年365次数据库备份全部成功，12次恢复验证全部通过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预防性维护有效：通过每日巡检和定期维护，提前发现并处理潜在问题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应急演练实战化：成功组织应急演练，验证了应急预案的有效性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1" w:name="_Toc8718"/>
      <w:r>
        <w:rPr>
          <w:rFonts w:hint="eastAsia"/>
          <w:lang w:val="en-US" w:eastAsia="zh-CN"/>
        </w:rPr>
        <w:t>下年度计划</w:t>
      </w:r>
      <w:bookmarkEnd w:id="6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62" w:name="_Toc2993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下年度重点计划</w:t>
      </w:r>
      <w:r>
        <w:t>表</w:t>
      </w:r>
      <w:bookmarkEnd w:id="62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1767"/>
        <w:gridCol w:w="2725"/>
        <w:gridCol w:w="1591"/>
        <w:gridCol w:w="1527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计划事项</w:t>
            </w:r>
          </w:p>
        </w:tc>
        <w:tc>
          <w:tcPr>
            <w:tcW w:w="27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</w:t>
            </w:r>
          </w:p>
        </w:tc>
        <w:tc>
          <w:tcPr>
            <w:tcW w:w="15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5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持续优化监控预警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实现全自动预警，缩短响应时间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增加灾备演练频次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每季度组织一次实战演练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2026年全年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优化系统性能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响应时间再提升15%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设备更新计划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按计划更新老化设备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2026年全年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运维自动化提升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实现巡检自动化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研发部经理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</w:tbl>
    <w:p>
      <w:pPr>
        <w:pStyle w:val="a4"/>
        <w:bidi w:val="0"/>
        <w:jc w:val="center"/>
      </w:pPr>
    </w:p>
    <w:p>
      <w:pPr>
        <w:pStyle w:val="a2"/>
        <w:ind w:left="0" w:firstLine="0" w:leftChars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3AEC25B"/>
    <w:multiLevelType w:val="singleLevel"/>
    <w:tmpl w:val="A3AEC25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470E3BC"/>
    <w:multiLevelType w:val="singleLevel"/>
    <w:tmpl w:val="B470E3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D679757"/>
    <w:multiLevelType w:val="singleLevel"/>
    <w:tmpl w:val="DD67975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1434</Words>
  <Characters>1742</Characters>
  <Application>Microsoft Office Word</Application>
  <DocSecurity>0</DocSecurity>
  <Lines>0</Lines>
  <Paragraphs>0</Paragraphs>
  <ScaleCrop>false</ScaleCrop>
  <Company/>
  <LinksUpToDate>false</LinksUpToDate>
  <CharactersWithSpaces>1893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2026-06-11T04:00:05Z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