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2025年信息安全管理报告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HFSJ-ITSS-0616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_Toc17981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报告概述</w:t>
          </w:r>
          <w:r>
            <w:tab/>
          </w:r>
          <w:r>
            <w:fldChar w:fldCharType="begin"/>
          </w:r>
          <w:r>
            <w:instrText xml:space="preserve"> PAGEREF _Toc17981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_Toc8334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1.1. 报告基本信息</w:t>
          </w:r>
          <w:r>
            <w:tab/>
          </w:r>
          <w:r>
            <w:fldChar w:fldCharType="begin"/>
          </w:r>
          <w:r>
            <w:instrText xml:space="preserve"> PAGEREF _Toc8334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_Toc30860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1.2. 报告目的</w:t>
          </w:r>
          <w:r>
            <w:tab/>
          </w:r>
          <w:r>
            <w:fldChar w:fldCharType="begin"/>
          </w:r>
          <w:r>
            <w:instrText xml:space="preserve"> PAGEREF _Toc30860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_Toc20978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信息安全目标达成情况</w:t>
          </w:r>
          <w:r>
            <w:tab/>
          </w:r>
          <w:r>
            <w:fldChar w:fldCharType="begin"/>
          </w:r>
          <w:r>
            <w:instrText xml:space="preserve"> PAGEREF _Toc20978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_Toc7951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信息安全管理组织运行情况</w:t>
          </w:r>
          <w:r>
            <w:tab/>
          </w:r>
          <w:r>
            <w:fldChar w:fldCharType="begin"/>
          </w:r>
          <w:r>
            <w:instrText xml:space="preserve"> PAGEREF _Toc7951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_Toc29566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信息资产安全管理情况</w:t>
          </w:r>
          <w:r>
            <w:tab/>
          </w:r>
          <w:r>
            <w:fldChar w:fldCharType="begin"/>
          </w:r>
          <w:r>
            <w:instrText xml:space="preserve"> PAGEREF _Toc29566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_Toc11216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资产识别与维护</w:t>
          </w:r>
          <w:r>
            <w:tab/>
          </w:r>
          <w:r>
            <w:fldChar w:fldCharType="begin"/>
          </w:r>
          <w:r>
            <w:instrText xml:space="preserve"> PAGEREF _Toc11216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_Toc26409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资产分级保护</w:t>
          </w:r>
          <w:r>
            <w:tab/>
          </w:r>
          <w:r>
            <w:fldChar w:fldCharType="begin"/>
          </w:r>
          <w:r>
            <w:instrText xml:space="preserve"> PAGEREF _Toc26409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_Toc14490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信息安全风险评估与处置情况</w:t>
          </w:r>
          <w:r>
            <w:tab/>
          </w:r>
          <w:r>
            <w:fldChar w:fldCharType="begin"/>
          </w:r>
          <w:r>
            <w:instrText xml:space="preserve"> PAGEREF _Toc14490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_Toc26756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风险识别与评估</w:t>
          </w:r>
          <w:r>
            <w:tab/>
          </w:r>
          <w:r>
            <w:fldChar w:fldCharType="begin"/>
          </w:r>
          <w:r>
            <w:instrText xml:space="preserve"> PAGEREF _Toc26756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_Toc8196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风险处置情况</w:t>
          </w:r>
          <w:r>
            <w:tab/>
          </w:r>
          <w:r>
            <w:fldChar w:fldCharType="begin"/>
          </w:r>
          <w:r>
            <w:instrText xml:space="preserve"> PAGEREF _Toc8196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_Toc18434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信息安全管控措施执行情况</w:t>
          </w:r>
          <w:r>
            <w:tab/>
          </w:r>
          <w:r>
            <w:fldChar w:fldCharType="begin"/>
          </w:r>
          <w:r>
            <w:instrText xml:space="preserve"> PAGEREF _Toc18434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_Toc14333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访问控制管理</w:t>
          </w:r>
          <w:r>
            <w:tab/>
          </w:r>
          <w:r>
            <w:fldChar w:fldCharType="begin"/>
          </w:r>
          <w:r>
            <w:instrText xml:space="preserve"> PAGEREF _Toc14333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_Toc30171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数据安全管理</w:t>
          </w:r>
          <w:r>
            <w:tab/>
          </w:r>
          <w:r>
            <w:fldChar w:fldCharType="begin"/>
          </w:r>
          <w:r>
            <w:instrText xml:space="preserve"> PAGEREF _Toc30171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网络安全防护</w:t>
          </w:r>
          <w:r>
            <w:tab/>
          </w:r>
          <w:r>
            <w:fldChar w:fldCharType="begin"/>
          </w:r>
          <w:r>
            <w:instrText xml:space="preserve"> PAGEREF _Toc451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系统安全加固</w:t>
          </w:r>
          <w:r>
            <w:tab/>
          </w:r>
          <w:r>
            <w:fldChar w:fldCharType="begin"/>
          </w:r>
          <w:r>
            <w:instrText xml:space="preserve"> PAGEREF _Toc179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物理安全防护</w:t>
          </w:r>
          <w:r>
            <w:tab/>
          </w:r>
          <w:r>
            <w:fldChar w:fldCharType="begin"/>
          </w:r>
          <w:r>
            <w:instrText xml:space="preserve"> PAGEREF _Toc605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_Toc3742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6.6. 人员安全管理</w:t>
          </w:r>
          <w:r>
            <w:tab/>
          </w:r>
          <w:r>
            <w:fldChar w:fldCharType="begin"/>
          </w:r>
          <w:r>
            <w:instrText xml:space="preserve"> PAGEREF _Toc3742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_Toc20496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信息安全事件管理情况</w:t>
          </w:r>
          <w:r>
            <w:tab/>
          </w:r>
          <w:r>
            <w:fldChar w:fldCharType="begin"/>
          </w:r>
          <w:r>
            <w:instrText xml:space="preserve"> PAGEREF _Toc20496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_Toc19270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安全事件统计</w:t>
          </w:r>
          <w:r>
            <w:tab/>
          </w:r>
          <w:r>
            <w:fldChar w:fldCharType="begin"/>
          </w:r>
          <w:r>
            <w:instrText xml:space="preserve"> PAGEREF _Toc19270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三级事件详情</w:t>
          </w:r>
          <w:r>
            <w:tab/>
          </w:r>
          <w:r>
            <w:fldChar w:fldCharType="begin"/>
          </w:r>
          <w:r>
            <w:instrText xml:space="preserve"> PAGEREF _Toc1137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_Toc23609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事件响应时效</w:t>
          </w:r>
          <w:r>
            <w:tab/>
          </w:r>
          <w:r>
            <w:fldChar w:fldCharType="begin"/>
          </w:r>
          <w:r>
            <w:instrText xml:space="preserve"> PAGEREF _Toc23609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_Toc32760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信息安全培训与意识提升情况</w:t>
          </w:r>
          <w:r>
            <w:tab/>
          </w:r>
          <w:r>
            <w:fldChar w:fldCharType="begin"/>
          </w:r>
          <w:r>
            <w:instrText xml:space="preserve"> PAGEREF _Toc32760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_Toc13479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培训开展情况</w:t>
          </w:r>
          <w:r>
            <w:tab/>
          </w:r>
          <w:r>
            <w:fldChar w:fldCharType="begin"/>
          </w:r>
          <w:r>
            <w:instrText xml:space="preserve"> PAGEREF _Toc13479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_Toc4932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培训效果评估</w:t>
          </w:r>
          <w:r>
            <w:tab/>
          </w:r>
          <w:r>
            <w:fldChar w:fldCharType="begin"/>
          </w:r>
          <w:r>
            <w:instrText xml:space="preserve"> PAGEREF _Toc4932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_Toc11294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信息安全检查与审计情况</w:t>
          </w:r>
          <w:r>
            <w:tab/>
          </w:r>
          <w:r>
            <w:fldChar w:fldCharType="begin"/>
          </w:r>
          <w:r>
            <w:instrText xml:space="preserve"> PAGEREF _Toc11294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9.1. 检查执行情况</w:t>
          </w:r>
          <w:r>
            <w:tab/>
          </w:r>
          <w:r>
            <w:fldChar w:fldCharType="begin"/>
          </w:r>
          <w:r>
            <w:instrText xml:space="preserve"> PAGEREF _Toc883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_Toc6140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9.2. 发现的主要问题及整改情况</w:t>
          </w:r>
          <w:r>
            <w:tab/>
          </w:r>
          <w:r>
            <w:fldChar w:fldCharType="begin"/>
          </w:r>
          <w:r>
            <w:instrText xml:space="preserve"> PAGEREF _Toc6140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_Toc18998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存在的问题与改进措施</w:t>
          </w:r>
          <w:r>
            <w:tab/>
          </w:r>
          <w:r>
            <w:fldChar w:fldCharType="begin"/>
          </w:r>
          <w:r>
            <w:instrText xml:space="preserve"> PAGEREF _Toc18998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_Toc26041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10.1. </w:t>
          </w:r>
          <w:r>
            <w:rPr>
              <w:rFonts w:hint="eastAsia"/>
              <w:lang w:val="en-US" w:eastAsia="zh-CN"/>
            </w:rPr>
            <w:t>主</w:t>
          </w:r>
          <w:r>
            <w:rPr>
              <w:rFonts w:hint="default"/>
              <w:lang w:val="en-US" w:eastAsia="zh-CN"/>
            </w:rPr>
            <w:t>要问题</w:t>
          </w:r>
          <w:r>
            <w:tab/>
          </w:r>
          <w:r>
            <w:fldChar w:fldCharType="begin"/>
          </w:r>
          <w:r>
            <w:instrText xml:space="preserve"> PAGEREF _Toc26041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_Toc14220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改进措施</w:t>
          </w:r>
          <w:r>
            <w:tab/>
          </w:r>
          <w:r>
            <w:fldChar w:fldCharType="begin"/>
          </w:r>
          <w:r>
            <w:instrText xml:space="preserve"> PAGEREF _Toc14220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_Toc25652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下年度工作计划</w:t>
          </w:r>
          <w:r>
            <w:tab/>
          </w:r>
          <w:r>
            <w:fldChar w:fldCharType="begin"/>
          </w:r>
          <w:r>
            <w:instrText xml:space="preserve"> PAGEREF _Toc25652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11.1. 重点工作</w:t>
          </w:r>
          <w:r>
            <w:tab/>
          </w:r>
          <w:r>
            <w:fldChar w:fldCharType="begin"/>
          </w:r>
          <w:r>
            <w:instrText xml:space="preserve"> PAGEREF _Toc2628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_Toc7333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11.2. 下年度目标</w:t>
          </w:r>
          <w:r>
            <w:tab/>
          </w:r>
          <w:r>
            <w:fldChar w:fldCharType="begin"/>
          </w:r>
          <w:r>
            <w:instrText xml:space="preserve"> PAGEREF _Toc7333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_Toc32193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12. 结论</w:t>
          </w:r>
          <w:r>
            <w:tab/>
          </w:r>
          <w:r>
            <w:fldChar w:fldCharType="begin"/>
          </w:r>
          <w:r>
            <w:instrText xml:space="preserve"> PAGEREF _Toc32193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_Toc860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信息安全目标达成表</w:t>
      </w:r>
      <w:r>
        <w:tab/>
      </w:r>
      <w:r>
        <w:fldChar w:fldCharType="begin"/>
      </w:r>
      <w:r>
        <w:instrText xml:space="preserve"> PAGEREF _Toc860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_Toc32666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各角色职责履行情况表</w:t>
      </w:r>
      <w:r>
        <w:tab/>
      </w:r>
      <w:r>
        <w:fldChar w:fldCharType="begin"/>
      </w:r>
      <w:r>
        <w:instrText xml:space="preserve"> PAGEREF _Toc32666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_Toc15524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处置措施表</w:t>
      </w:r>
      <w:r>
        <w:tab/>
      </w:r>
      <w:r>
        <w:fldChar w:fldCharType="begin"/>
      </w:r>
      <w:r>
        <w:instrText xml:space="preserve"> PAGEREF _Toc15524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_Toc9230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安全事件统计表</w:t>
      </w:r>
      <w:r>
        <w:tab/>
      </w:r>
      <w:r>
        <w:fldChar w:fldCharType="begin"/>
      </w:r>
      <w:r>
        <w:instrText xml:space="preserve"> PAGEREF _Toc9230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_Toc27153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事件处理详情表</w:t>
      </w:r>
      <w:r>
        <w:tab/>
      </w:r>
      <w:r>
        <w:fldChar w:fldCharType="begin"/>
      </w:r>
      <w:r>
        <w:instrText xml:space="preserve"> PAGEREF _Toc27153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_Toc29247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安全培训统计表</w:t>
      </w:r>
      <w:r>
        <w:tab/>
      </w:r>
      <w:r>
        <w:fldChar w:fldCharType="begin"/>
      </w:r>
      <w:r>
        <w:instrText xml:space="preserve"> PAGEREF _Toc29247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_Toc22250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安全检查统计表</w:t>
      </w:r>
      <w:r>
        <w:tab/>
      </w:r>
      <w:r>
        <w:fldChar w:fldCharType="begin"/>
      </w:r>
      <w:r>
        <w:instrText xml:space="preserve"> PAGEREF _Toc22250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_Toc4291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问题整改情况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_Toc4291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_Toc26749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_Toc26749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_Toc27254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2026年信息安全目标表</w:t>
      </w:r>
      <w:r>
        <w:tab/>
      </w:r>
      <w:r>
        <w:fldChar w:fldCharType="begin"/>
      </w:r>
      <w:r>
        <w:instrText xml:space="preserve"> PAGEREF _Toc27254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17981"/>
      <w:r>
        <w:rPr>
          <w:rFonts w:hint="default"/>
          <w:lang w:val="en-US" w:eastAsia="zh-CN"/>
        </w:rPr>
        <w:t>报告概述</w:t>
      </w:r>
      <w:bookmarkEnd w:id="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8334"/>
      <w:r>
        <w:rPr>
          <w:rFonts w:hint="default"/>
          <w:lang w:val="en-US" w:eastAsia="zh-CN"/>
        </w:rPr>
        <w:t>报告基本信息</w:t>
      </w:r>
      <w:bookmarkEnd w:id="2"/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项目名称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2025年国电电力湖南新能源系统运维项目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报告周期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2025年1月1日 - 2025年12月31日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报告类型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年度信息安全管理报告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报告责任人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运维项目经理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报告审核人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运维部经理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30860"/>
      <w:r>
        <w:rPr>
          <w:rFonts w:hint="default"/>
          <w:lang w:val="en-US" w:eastAsia="zh-CN"/>
        </w:rPr>
        <w:t>报告目的</w:t>
      </w:r>
      <w:bookmarkEnd w:id="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总结《2025年国电电力湖南新能源系统运维项目》项目在2025年度内的信息安全管理情况，评估信息安全目标达成情况，分析安全风险管控成效，总结安全事件处理经验，为下一年度信息安全管理工作提供改进依据，确保项目信息安全持续满足客户需求和法律法规要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0978"/>
      <w:r>
        <w:rPr>
          <w:rFonts w:hint="default"/>
          <w:lang w:val="en-US" w:eastAsia="zh-CN"/>
        </w:rPr>
        <w:t>信息安全目标达成情况</w:t>
      </w:r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86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信息安全目标达成表</w:t>
      </w:r>
      <w:bookmarkEnd w:id="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125"/>
        <w:gridCol w:w="1698"/>
        <w:gridCol w:w="1275"/>
        <w:gridCol w:w="261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1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16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年度实际达成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  <w:tc>
          <w:tcPr>
            <w:tcW w:w="26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信息安全事件数量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0次/年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全年未发生信息安全事件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数据备份成功率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全年365次备份全部成功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访问控制合规率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所有权限变更均按流程执行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安全漏洞修复率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≥95%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98.5%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发现漏洞67个，修复66个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安全培训覆盖率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全员完成年度安全培训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7951"/>
      <w:r>
        <w:rPr>
          <w:rFonts w:hint="default"/>
          <w:lang w:val="en-US" w:eastAsia="zh-CN"/>
        </w:rPr>
        <w:t>信息安全管理组织运行情况</w:t>
      </w:r>
      <w:bookmarkEnd w:id="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本年度信息安全组织按计划有效运行，各角色职责履行情况良好</w:t>
      </w:r>
      <w:r>
        <w:rPr>
          <w:rFonts w:hint="eastAsia"/>
          <w:lang w:val="en-US" w:eastAsia="zh-CN"/>
        </w:rPr>
        <w:t>.运行情况如表3-1所示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32666"/>
      <w:r>
        <w:rPr>
          <w:rFonts w:hint="eastAsia"/>
          <w:lang w:val="en-US" w:eastAsia="zh-CN"/>
        </w:rPr>
        <w:t xml:space="preserve"> 各角色职责履行情况表</w:t>
      </w:r>
      <w:bookmarkEnd w:id="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1538"/>
        <w:gridCol w:w="534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角色</w:t>
            </w:r>
          </w:p>
        </w:tc>
        <w:tc>
          <w:tcPr>
            <w:tcW w:w="15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运行情况</w:t>
            </w:r>
          </w:p>
        </w:tc>
        <w:tc>
          <w:tcPr>
            <w:tcW w:w="53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主要工作成果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审批安全策略4项，监督安全措施执行，主持季度安全会议4次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组织风险评估2次，协调安全事件0次，编制安全报告4份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执行系统安全配置，修复漏洞66个，每日备份验证完成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配置防火墙策略，每日网络巡检，入侵检测告警分析28次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产品质量部专员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完成季度安全审计4次，提出改进建议6项，全部落实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9566"/>
      <w:r>
        <w:rPr>
          <w:rFonts w:hint="default"/>
          <w:lang w:val="en-US" w:eastAsia="zh-CN"/>
        </w:rPr>
        <w:t>信息资产安全管理情况</w:t>
      </w:r>
      <w:bookmarkEnd w:id="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1216"/>
      <w:r>
        <w:rPr>
          <w:rFonts w:hint="default"/>
          <w:lang w:val="en-US" w:eastAsia="zh-CN"/>
        </w:rPr>
        <w:t>资产识别与维护</w:t>
      </w:r>
      <w:bookmarkEnd w:id="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本年度对项目信息资产进行了全面梳理和维护，主要资产包括：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软件资产：新能源系统、MySQL数据库、监控系统，版本均保持最新稳定版本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硬件资产：应用服务器2台、数据库服务器2台、网络设备6台、现场设备15台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数据资产：业务数据约500GB，配置数据归档完整，日志数据保留90天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文档资产：技术文档、操作手册、安全策略等共计35份，已统一归档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6409"/>
      <w:r>
        <w:rPr>
          <w:rFonts w:hint="default"/>
          <w:lang w:val="en-US" w:eastAsia="zh-CN"/>
        </w:rPr>
        <w:t>资产分级保护</w:t>
      </w:r>
      <w:bookmarkEnd w:id="1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资产（客户业务数据、数据库、核心配置）已实施存储加密和传输加密，访问权限严格控制在授权人员范围内。中等级资产已实施传输加密和标准访问控制。低等级资产采取基础安全保护措施。全年未发生资产泄露或损坏事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4490"/>
      <w:r>
        <w:rPr>
          <w:rFonts w:hint="default"/>
          <w:lang w:val="en-US" w:eastAsia="zh-CN"/>
        </w:rPr>
        <w:t>信息安全风险评估与处置情况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6756"/>
      <w:r>
        <w:rPr>
          <w:rFonts w:hint="default"/>
          <w:lang w:val="en-US" w:eastAsia="zh-CN"/>
        </w:rPr>
        <w:t>风险识别与评估</w:t>
      </w:r>
      <w:bookmarkEnd w:id="1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本年度组织两次全面风险评估，识别主要安全风险如下：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技术风险：系统漏洞、数据库攻击、网络入侵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数据风险：数据泄露、数据丢失、备份失效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人员风险：权限滥用、操作失误、离职泄密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环境风险：机房未授权进入、设备被盗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8196"/>
      <w:r>
        <w:rPr>
          <w:rFonts w:hint="default"/>
          <w:lang w:val="en-US" w:eastAsia="zh-CN"/>
        </w:rPr>
        <w:t>风险处置情况</w:t>
      </w:r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针对识别的高风险项，采取以下处置措施</w:t>
      </w:r>
      <w:r>
        <w:rPr>
          <w:rFonts w:hint="eastAsia"/>
          <w:lang w:val="en-US" w:eastAsia="zh-CN"/>
        </w:rPr>
        <w:t>，处置措施如表5-1所示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15524"/>
      <w:r>
        <w:rPr>
          <w:rFonts w:hint="eastAsia"/>
          <w:lang w:val="en-US" w:eastAsia="zh-CN"/>
        </w:rPr>
        <w:t xml:space="preserve"> 处置措施表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4785"/>
        <w:gridCol w:w="236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7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风险描述</w:t>
            </w:r>
          </w:p>
        </w:tc>
        <w:tc>
          <w:tcPr>
            <w:tcW w:w="47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处置措施</w:t>
            </w:r>
          </w:p>
        </w:tc>
        <w:tc>
          <w:tcPr>
            <w:tcW w:w="23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处置结果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系统漏洞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每月漏洞扫描，高危补丁7天内安装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全年修复率98.5%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数据丢失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每日备份，异地存储，每周验证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备份成功率100%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网络入侵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防火墙策略，入侵检测，VPN接入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全年无入侵事件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权限滥用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最小权限原则，季度审计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权限合规率100%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8434"/>
      <w:r>
        <w:rPr>
          <w:rFonts w:hint="default"/>
          <w:lang w:val="en-US" w:eastAsia="zh-CN"/>
        </w:rPr>
        <w:t>信息安全管控措施执行情况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4333"/>
      <w:r>
        <w:rPr>
          <w:rFonts w:hint="default"/>
          <w:lang w:val="en-US" w:eastAsia="zh-CN"/>
        </w:rPr>
        <w:t>访问控制管理</w:t>
      </w:r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本年度严格执行访问控制管理要求：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账户管理：全年新开账户8个，回收账户5个，均经审批流程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密码管理：每90天强制更换密码，密码强度符合要求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权限审计：每季度进行账户权限审计，未发现权限滥用情况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特权账户：特权账户仅授权2人使用，所有操作均有日志记录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30171"/>
      <w:r>
        <w:rPr>
          <w:rFonts w:hint="default"/>
          <w:lang w:val="en-US" w:eastAsia="zh-CN"/>
        </w:rPr>
        <w:t>数据安全管理</w:t>
      </w:r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数据安全措施执行情况良好：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数据备份：全年365次数据库备份全部成功，备份成功率100%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备份验证：每周验证备份可用性，全年52次验证全部通过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数据恢复：每季度组织数据恢复演练，4次演练全部成功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数据加密：高密级数据存储加密，传输使用HTTPS/SSH协议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451"/>
      <w:r>
        <w:rPr>
          <w:rFonts w:hint="default"/>
          <w:lang w:val="en-US" w:eastAsia="zh-CN"/>
        </w:rPr>
        <w:t>网络安全防护</w:t>
      </w:r>
      <w:bookmarkEnd w:id="1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网络安全防护措施持续运行：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网络隔离：生产环境与办公环境保持隔离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防火墙策略：按最小开放原则配置，每季度审查一次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VPN接入：远程运维通过VPN接入，启用多因素认证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入侵检测：全年产生告警28次，均为误报或正常扫描，无真实入侵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79"/>
      <w:r>
        <w:rPr>
          <w:rFonts w:hint="default"/>
          <w:lang w:val="en-US" w:eastAsia="zh-CN"/>
        </w:rPr>
        <w:t>系统安全加固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系统安全措施落实到位：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补丁管理：每月检查系统补丁，高危补丁7天内安装，全年安装补丁45个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防病毒：服务器防病毒软件每日更新，全年未发现病毒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日志审计：系统日志保留90天，每月审计异常访问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账号管理：禁用默认账户，删除测试账户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605"/>
      <w:r>
        <w:rPr>
          <w:rFonts w:hint="default"/>
          <w:lang w:val="en-US" w:eastAsia="zh-CN"/>
        </w:rPr>
        <w:t>物理安全防护</w:t>
      </w:r>
      <w:bookmarkEnd w:id="2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物理安全措施有效执行：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机房出入：全年机房出入登记32次，非授权人员均有人陪同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设备防护：服务器上锁固定，现场设备安装位置安全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环境监控：机房温湿度正常，UPS电源测试通过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设备处置：本年度无设备报废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3742"/>
      <w:r>
        <w:rPr>
          <w:rFonts w:hint="default"/>
          <w:lang w:val="en-US" w:eastAsia="zh-CN"/>
        </w:rPr>
        <w:t>人员安全管理</w:t>
      </w:r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人员安全管理覆盖员工全生命周期：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入职管理：2名新员工入职，均签订保密协议，完成安全培训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在职管理：全员参加年度安全培训，岗位安全职责明确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离职管理：1名员工离职，权限及时回收，签署离职保密承诺书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第三方管理：无第三方人员参与项目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0496"/>
      <w:r>
        <w:rPr>
          <w:rFonts w:hint="default"/>
          <w:lang w:val="en-US" w:eastAsia="zh-CN"/>
        </w:rPr>
        <w:t>信息安全事件管理情况</w:t>
      </w:r>
      <w:bookmarkEnd w:id="2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9270"/>
      <w:r>
        <w:rPr>
          <w:rFonts w:hint="default"/>
          <w:lang w:val="en-US" w:eastAsia="zh-CN"/>
        </w:rPr>
        <w:t>安全事件统计</w:t>
      </w:r>
      <w:bookmarkEnd w:id="2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923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安全事件统计表</w:t>
      </w:r>
      <w:bookmarkEnd w:id="2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1"/>
        <w:gridCol w:w="3997"/>
        <w:gridCol w:w="1437"/>
        <w:gridCol w:w="143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5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事件等级</w:t>
            </w:r>
          </w:p>
        </w:tc>
        <w:tc>
          <w:tcPr>
            <w:tcW w:w="39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</w:t>
            </w:r>
          </w:p>
        </w:tc>
        <w:tc>
          <w:tcPr>
            <w:tcW w:w="143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发生次数</w:t>
            </w:r>
          </w:p>
        </w:tc>
        <w:tc>
          <w:tcPr>
            <w:tcW w:w="14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处理情况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一级（重大）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数据泄露、系统被入侵、服务中断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二级（严重）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权限滥用、病毒爆发、数据损坏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三级（一般）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异常访问、配置错误、告警触发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均已处理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137"/>
      <w:r>
        <w:rPr>
          <w:rFonts w:hint="default"/>
          <w:lang w:val="en-US" w:eastAsia="zh-CN"/>
        </w:rPr>
        <w:t>三级事件详情</w:t>
      </w:r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本年度发生三级安全事件3次，均为告警触发类事件，已全部处理：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6" w:name="_Toc27153"/>
      <w:r>
        <w:rPr>
          <w:rFonts w:hint="eastAsia"/>
          <w:lang w:val="en-US" w:eastAsia="zh-CN"/>
        </w:rPr>
        <w:t xml:space="preserve"> 事件处理详情表</w:t>
      </w:r>
      <w:bookmarkEnd w:id="2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2734"/>
        <w:gridCol w:w="2980"/>
        <w:gridCol w:w="151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9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事件日期</w:t>
            </w:r>
          </w:p>
        </w:tc>
        <w:tc>
          <w:tcPr>
            <w:tcW w:w="27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事件描述</w:t>
            </w:r>
          </w:p>
        </w:tc>
        <w:tc>
          <w:tcPr>
            <w:tcW w:w="29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处理措施</w:t>
            </w:r>
          </w:p>
        </w:tc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处理结果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2025.3.12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异常IP访问尝试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封禁IP，分析日志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已关闭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2025.6.8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数据库连接数超阈值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扩容连接池，优化查询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已解决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2025.9.25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系统登录失败过多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检查账户，重置密码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已解决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3609"/>
      <w:r>
        <w:rPr>
          <w:rFonts w:hint="default"/>
          <w:lang w:val="en-US" w:eastAsia="zh-CN"/>
        </w:rPr>
        <w:t>事件响应时效</w:t>
      </w:r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所有安全事件均在规定时间内响应和处理，一级事件0起，二级事件0起，三级事件平均响应时间15分钟，平均处理时间30分钟。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32760"/>
      <w:r>
        <w:rPr>
          <w:rFonts w:hint="default"/>
          <w:lang w:val="en-US" w:eastAsia="zh-CN"/>
        </w:rPr>
        <w:t>信息安全培训与意识提升情况</w:t>
      </w:r>
      <w:bookmarkEnd w:id="2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13479"/>
      <w:r>
        <w:rPr>
          <w:rFonts w:hint="default"/>
          <w:lang w:val="en-US" w:eastAsia="zh-CN"/>
        </w:rPr>
        <w:t>培训开展情况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924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安全培训统计表</w:t>
      </w:r>
      <w:bookmarkEnd w:id="3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6"/>
        <w:gridCol w:w="1423"/>
        <w:gridCol w:w="1423"/>
        <w:gridCol w:w="1423"/>
        <w:gridCol w:w="1423"/>
        <w:gridCol w:w="119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3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培训内容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培训对象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培训方式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培训时间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参训人数</w:t>
            </w:r>
          </w:p>
        </w:tc>
        <w:tc>
          <w:tcPr>
            <w:tcW w:w="119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覆盖率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信息安全政策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新员工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入职培训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入职时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安全操作规范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运维人员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2025.4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数据安全保护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运维人员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2025.8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社会工程防范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项目全员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2025.10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4932"/>
      <w:r>
        <w:rPr>
          <w:rFonts w:hint="default"/>
          <w:lang w:val="en-US" w:eastAsia="zh-CN"/>
        </w:rPr>
        <w:t>培训效果评估</w:t>
      </w:r>
      <w:bookmarkEnd w:id="3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培训结束后进行了效果评估，参训人员安全知识测试平均得分92分，较去年提升5分。参训人员反馈培训内容实用，对日常工作有指导作用。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11294"/>
      <w:r>
        <w:rPr>
          <w:rFonts w:hint="default"/>
          <w:lang w:val="en-US" w:eastAsia="zh-CN"/>
        </w:rPr>
        <w:t>信息安全检查与审计情况</w:t>
      </w:r>
      <w:bookmarkEnd w:id="3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883"/>
      <w:r>
        <w:rPr>
          <w:rFonts w:hint="default"/>
          <w:lang w:val="en-US" w:eastAsia="zh-CN"/>
        </w:rPr>
        <w:t>检查执行情况</w:t>
      </w:r>
      <w:bookmarkEnd w:id="3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2225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安全检查统计表</w:t>
      </w:r>
      <w:bookmarkEnd w:id="3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1740"/>
        <w:gridCol w:w="1740"/>
        <w:gridCol w:w="1459"/>
        <w:gridCol w:w="215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3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检查类型</w:t>
            </w:r>
          </w:p>
        </w:tc>
        <w:tc>
          <w:tcPr>
            <w:tcW w:w="17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计划次数</w:t>
            </w:r>
          </w:p>
        </w:tc>
        <w:tc>
          <w:tcPr>
            <w:tcW w:w="17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实际次数</w:t>
            </w:r>
          </w:p>
        </w:tc>
        <w:tc>
          <w:tcPr>
            <w:tcW w:w="145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完成率</w:t>
            </w:r>
          </w:p>
        </w:tc>
        <w:tc>
          <w:tcPr>
            <w:tcW w:w="215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发现问题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日常检查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周度检查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月度审计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季度检查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年度评估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2个（整改中）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6140"/>
      <w:r>
        <w:rPr>
          <w:rFonts w:hint="default"/>
          <w:lang w:val="en-US" w:eastAsia="zh-CN"/>
        </w:rPr>
        <w:t>发现的主要问题及整改情况</w:t>
      </w:r>
      <w:bookmarkEnd w:id="3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6" w:name="_Toc4291"/>
      <w:r>
        <w:rPr>
          <w:rFonts w:hint="eastAsia"/>
          <w:lang w:val="en-US" w:eastAsia="zh-CN"/>
        </w:rPr>
        <w:t xml:space="preserve"> 问题整改情况</w:t>
      </w:r>
      <w:r>
        <w:rPr>
          <w:rFonts w:hint="default"/>
          <w:lang w:val="en-US" w:eastAsia="zh-CN"/>
        </w:rPr>
        <w:t>表</w:t>
      </w:r>
      <w:bookmarkEnd w:id="3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4"/>
        <w:gridCol w:w="3400"/>
        <w:gridCol w:w="2637"/>
        <w:gridCol w:w="134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发现时间</w:t>
            </w:r>
          </w:p>
        </w:tc>
        <w:tc>
          <w:tcPr>
            <w:tcW w:w="34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问题描述</w:t>
            </w:r>
          </w:p>
        </w:tc>
        <w:tc>
          <w:tcPr>
            <w:tcW w:w="263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整改措施</w:t>
            </w:r>
          </w:p>
        </w:tc>
        <w:tc>
          <w:tcPr>
            <w:tcW w:w="13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整改状态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2025.2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备份磁盘空间不足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清理旧备份，扩容空间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2025.5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部分账户密码超过90天未更新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通知相关人员更新密码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2025.8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防火墙策略未及时更新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审查并更新策略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2025.11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年度评估发现2个配置项需优化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已列入下年度计划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🔄 进行中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18998"/>
      <w:r>
        <w:rPr>
          <w:rFonts w:hint="default"/>
          <w:lang w:val="en-US" w:eastAsia="zh-CN"/>
        </w:rPr>
        <w:t>存在的问题与改进措施</w:t>
      </w:r>
      <w:bookmarkEnd w:id="3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26041"/>
      <w:r>
        <w:rPr>
          <w:rFonts w:hint="eastAsia"/>
          <w:lang w:val="en-US" w:eastAsia="zh-CN"/>
        </w:rPr>
        <w:t>主</w:t>
      </w:r>
      <w:r>
        <w:rPr>
          <w:rFonts w:hint="default"/>
          <w:lang w:val="en-US" w:eastAsia="zh-CN"/>
        </w:rPr>
        <w:t>要问题</w:t>
      </w:r>
      <w:bookmarkEnd w:id="3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配置基线管理：部分系统配置未形成标准化基线，存在配置不一致风险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漏洞扫描频次：当前每月扫描一次，部分高危漏洞发现不够及时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应急演练覆盖：安全应急演练尚未开展，预案有效性未验证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14220"/>
      <w:r>
        <w:rPr>
          <w:rFonts w:hint="default"/>
          <w:lang w:val="en-US" w:eastAsia="zh-CN"/>
        </w:rPr>
        <w:t>改进措施</w:t>
      </w:r>
      <w:bookmarkEnd w:id="3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bookmarkStart w:id="40" w:name="_GoBack"/>
      <w:bookmarkEnd w:id="40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1" w:name="_Toc26749"/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bookmarkEnd w:id="4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1525"/>
        <w:gridCol w:w="3267"/>
        <w:gridCol w:w="1497"/>
        <w:gridCol w:w="153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9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5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32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5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配置基线管理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制定系统安全配置基线，每季度检查一致性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漏洞扫描频次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提升至每周扫描一次，高危漏洞24小时内响应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组织信息安全应急演练（数据泄露场景）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第三方安全评估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引入第三方安全评估，发现潜在盲点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25652"/>
      <w:r>
        <w:rPr>
          <w:rFonts w:hint="default"/>
          <w:lang w:val="en-US" w:eastAsia="zh-CN"/>
        </w:rPr>
        <w:t>下年度工作计划</w:t>
      </w:r>
      <w:bookmarkEnd w:id="4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2628"/>
      <w:r>
        <w:rPr>
          <w:rFonts w:hint="default"/>
          <w:lang w:val="en-US" w:eastAsia="zh-CN"/>
        </w:rPr>
        <w:t>重点工作</w:t>
      </w:r>
      <w:bookmarkEnd w:id="4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安全基线建设：建立系统安全配置基线，实现配置标准化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漏洞管理优化：提升扫描频次，建立漏洞全生命周期管理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应急演练实战：组织信息安全应急演练，验证预案有效性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安全意识持续：每季度开展安全小课堂，提升全员安全意识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第三方评估：引入第三方安全评估，完善安全防护体系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4" w:name="_Toc7333"/>
      <w:r>
        <w:rPr>
          <w:rFonts w:hint="default"/>
          <w:lang w:val="en-US" w:eastAsia="zh-CN"/>
        </w:rPr>
        <w:t>下年度目标</w:t>
      </w:r>
      <w:bookmarkEnd w:id="4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5" w:name="_Toc27254"/>
      <w:r>
        <w:rPr>
          <w:rFonts w:hint="eastAsia"/>
          <w:lang w:val="en-US" w:eastAsia="zh-CN"/>
        </w:rPr>
        <w:t xml:space="preserve"> 2026年信息安全目标表</w:t>
      </w:r>
      <w:bookmarkEnd w:id="4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0"/>
        <w:gridCol w:w="1811"/>
        <w:gridCol w:w="353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31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81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35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信息安全事件数量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0次/年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延续本年度良好态势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数据备份成功率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保持备份成功率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访问控制合规率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保持权限管理规范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安全漏洞修复率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≥98%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提升修复率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安全培训覆盖率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保持全员覆盖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安全应急演练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≥1次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新增演练目标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6" w:name="_Toc32193"/>
      <w:r>
        <w:rPr>
          <w:rFonts w:hint="default"/>
          <w:lang w:val="en-US" w:eastAsia="zh-CN"/>
        </w:rPr>
        <w:t>结论</w:t>
      </w:r>
      <w:bookmarkEnd w:id="4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，《2025年国电电力湖南新能源系统运维项目》项目信息安全管理运行良好，各项安全目标全部达成，全年未发生信息安全事件。访问控制、数据备份、网络安全、系统加固等管控措施有效执行，风险评估及时，隐患整改闭环。信息安全组织和培训体系运行正常，全员安全意识持续提升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下年度将继续优化安全管理措施，完善安全基线建设，提升漏洞管理能力，开展应急演练，持续保障项目信息安全。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8F38CC8"/>
    <w:multiLevelType w:val="singleLevel"/>
    <w:tmpl w:val="98F38C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BF84E13"/>
    <w:multiLevelType w:val="singleLevel"/>
    <w:tmpl w:val="0BF84E1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6CBB260"/>
    <w:multiLevelType w:val="singleLevel"/>
    <w:tmpl w:val="16CBB26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2758</Words>
  <Characters>3101</Characters>
  <Application>Microsoft Office Word</Application>
  <DocSecurity>0</DocSecurity>
  <Lines>0</Lines>
  <Paragraphs>0</Paragraphs>
  <ScaleCrop>false</ScaleCrop>
  <Company/>
  <LinksUpToDate>false</LinksUpToDate>
  <CharactersWithSpaces>3300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2026-04-07T22:11:53Z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