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运维工具自评估报告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HFSJ-ITSS-0809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2025.12.22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2025.12.22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2025.12.22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2025.12.22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tbl>
      <w:tblPr>
        <w:tblStyle w:val="TableNormal0"/>
        <w:tblW w:w="1452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2874"/>
        <w:gridCol w:w="2543"/>
        <w:gridCol w:w="1986"/>
        <w:gridCol w:w="3196"/>
        <w:gridCol w:w="1343"/>
      </w:tblGrid>
      <w:tr>
        <w:tblPrEx>
          <w:tblW w:w="1452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/>
        </w:trPr>
        <w:tc>
          <w:tcPr>
            <w:tcW w:w="1275" w:type="dxa"/>
            <w:shd w:val="clear" w:color="auto" w:fill="E5E5E5"/>
          </w:tcPr>
          <w:p>
            <w:pPr>
              <w:spacing w:before="215" w:line="289" w:lineRule="auto"/>
              <w:ind w:left="538" w:right="110" w:hanging="42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>
            <w:pPr>
              <w:pStyle w:val="TableText"/>
              <w:spacing w:line="303" w:lineRule="auto"/>
            </w:pPr>
          </w:p>
          <w:p>
            <w:pPr>
              <w:spacing w:before="65" w:line="229" w:lineRule="auto"/>
              <w:ind w:left="23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2874" w:type="dxa"/>
            <w:shd w:val="clear" w:color="auto" w:fill="E5E5E5"/>
          </w:tcPr>
          <w:p>
            <w:pPr>
              <w:spacing w:before="214" w:line="229" w:lineRule="auto"/>
              <w:ind w:left="52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>
            <w:pPr>
              <w:spacing w:before="63" w:line="228" w:lineRule="auto"/>
              <w:ind w:left="1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2543" w:type="dxa"/>
            <w:shd w:val="clear" w:color="auto" w:fill="E5E5E5"/>
          </w:tcPr>
          <w:p>
            <w:pPr>
              <w:spacing w:before="214" w:line="228" w:lineRule="auto"/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>
            <w:pPr>
              <w:spacing w:before="214" w:line="228" w:lineRule="auto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>
            <w:pPr>
              <w:spacing w:before="58" w:line="228" w:lineRule="auto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>
            <w:pPr>
              <w:spacing w:before="66" w:line="263" w:lineRule="auto"/>
              <w:ind w:right="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eastAsia="宋体" w:hAnsi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>
            <w:pPr>
              <w:pStyle w:val="TableText"/>
              <w:spacing w:line="303" w:lineRule="auto"/>
            </w:pPr>
          </w:p>
          <w:p>
            <w:pPr>
              <w:spacing w:before="65" w:line="226" w:lineRule="auto"/>
              <w:ind w:left="76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>
            <w:pPr>
              <w:spacing w:before="215" w:line="290" w:lineRule="auto"/>
              <w:ind w:left="476" w:right="302" w:hanging="16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>
        <w:tblPrEx>
          <w:tblW w:w="14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6"/>
        </w:trPr>
        <w:tc>
          <w:tcPr>
            <w:tcW w:w="1275" w:type="dxa"/>
            <w:vAlign w:val="center"/>
          </w:tcPr>
          <w:p>
            <w:pPr>
              <w:spacing w:before="78" w:line="243" w:lineRule="auto"/>
              <w:ind w:right="154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  <w:vAlign w:val="center"/>
          </w:tcPr>
          <w:p>
            <w:pPr>
              <w:spacing w:line="219" w:lineRule="auto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ITOP</w:t>
            </w:r>
          </w:p>
        </w:tc>
        <w:tc>
          <w:tcPr>
            <w:tcW w:w="2874" w:type="dxa"/>
          </w:tcPr>
          <w:p>
            <w:pPr>
              <w:pStyle w:val="a2"/>
              <w:bidi w:val="0"/>
              <w:ind w:left="0" w:firstLine="0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t>iTop是公司采用的开源运维管理平台，集成了服务台、</w:t>
            </w:r>
            <w:r>
              <w:rPr>
                <w:rFonts w:hint="eastAsia"/>
                <w:lang w:val="en-US" w:eastAsia="zh-CN"/>
              </w:rPr>
              <w:t>知识库</w:t>
            </w:r>
            <w:r>
              <w:t>、</w:t>
            </w:r>
            <w:r>
              <w:rPr>
                <w:rFonts w:hint="eastAsia"/>
                <w:lang w:val="en-US" w:eastAsia="zh-CN"/>
              </w:rPr>
              <w:t>事件</w:t>
            </w:r>
            <w:r>
              <w:t>管理、</w:t>
            </w:r>
            <w:r>
              <w:rPr>
                <w:rFonts w:hint="eastAsia"/>
                <w:lang w:val="en-US" w:eastAsia="zh-CN"/>
              </w:rPr>
              <w:t>问题管理、变更管理</w:t>
            </w:r>
            <w:r>
              <w:t>等功能模块，有效提升了运维管理效率。</w:t>
            </w:r>
          </w:p>
        </w:tc>
        <w:tc>
          <w:tcPr>
            <w:tcW w:w="2543" w:type="dxa"/>
            <w:vAlign w:val="center"/>
          </w:tcPr>
          <w:p>
            <w:pPr>
              <w:pStyle w:val="a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2025年国电电力湖南新能源系统运维项目</w:t>
            </w:r>
          </w:p>
        </w:tc>
        <w:tc>
          <w:tcPr>
            <w:tcW w:w="1986" w:type="dxa"/>
            <w:vAlign w:val="center"/>
          </w:tcPr>
          <w:p>
            <w:pPr>
              <w:spacing w:before="78" w:line="220" w:lineRule="auto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开源</w:t>
            </w:r>
          </w:p>
        </w:tc>
        <w:tc>
          <w:tcPr>
            <w:tcW w:w="3196" w:type="dxa"/>
          </w:tcPr>
          <w:p>
            <w:pPr>
              <w:pStyle w:val="a4"/>
              <w:bidi w:val="0"/>
              <w:rPr>
                <w:rFonts w:hint="default"/>
                <w:lang w:val="en-US" w:eastAsia="zh-CN"/>
              </w:rPr>
            </w:pPr>
            <w:r>
              <w:t>iTop平台的应用有效提升了公司运维服务的效率和质量，各项KPI指标持续达标，客户满意度稳步提升，为运维服务能力体系建设提供了工具支撑。</w:t>
            </w:r>
          </w:p>
        </w:tc>
        <w:tc>
          <w:tcPr>
            <w:tcW w:w="1343" w:type="dxa"/>
            <w:vAlign w:val="center"/>
          </w:tcPr>
          <w:p>
            <w:pPr>
              <w:spacing w:before="26" w:line="239" w:lineRule="auto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姚耿桂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2025.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.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W w:w="14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7"/>
        </w:trPr>
        <w:tc>
          <w:tcPr>
            <w:tcW w:w="1275" w:type="dxa"/>
            <w:vAlign w:val="center"/>
          </w:tcPr>
          <w:p>
            <w:pPr>
              <w:spacing w:before="78" w:line="22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  <w:vAlign w:val="center"/>
          </w:tcPr>
          <w:p>
            <w:pPr>
              <w:pStyle w:val="TableText"/>
              <w:spacing w:line="262" w:lineRule="auto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华风数据</w:t>
            </w:r>
            <w:bookmarkStart w:id="1" w:name="_GoBack"/>
            <w:bookmarkEnd w:id="1"/>
            <w:r>
              <w:rPr>
                <w:rFonts w:hint="eastAsia"/>
                <w:lang w:val="en-US" w:eastAsia="zh-CN"/>
              </w:rPr>
              <w:t>运维监控</w:t>
            </w:r>
          </w:p>
        </w:tc>
        <w:tc>
          <w:tcPr>
            <w:tcW w:w="2874" w:type="dxa"/>
          </w:tcPr>
          <w:p>
            <w:pPr>
              <w:pStyle w:val="a2"/>
              <w:ind w:left="0" w:firstLine="0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</w:rPr>
              <w:t>面向混合云环境的统一运维监控工具，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实现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</w:rPr>
              <w:t>实时掌握IT资源的运行状态，快速定位故障，保障业务连续稳定运行。平台采用模块化设计，覆盖主机、云资源、应用性能、数据库等核心监控场景，支持从基础设施到业务应用的立体化监控。</w:t>
            </w:r>
          </w:p>
        </w:tc>
        <w:tc>
          <w:tcPr>
            <w:tcW w:w="2543" w:type="dxa"/>
            <w:vAlign w:val="center"/>
          </w:tcPr>
          <w:p>
            <w:pPr>
              <w:pStyle w:val="a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2025年国电电力湖南新能源系统运维项目</w:t>
            </w:r>
          </w:p>
        </w:tc>
        <w:tc>
          <w:tcPr>
            <w:tcW w:w="1986" w:type="dxa"/>
            <w:vAlign w:val="center"/>
          </w:tcPr>
          <w:p>
            <w:pPr>
              <w:spacing w:before="78" w:line="221" w:lineRule="auto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自研</w:t>
            </w:r>
          </w:p>
        </w:tc>
        <w:tc>
          <w:tcPr>
            <w:tcW w:w="3196" w:type="dxa"/>
          </w:tcPr>
          <w:p>
            <w:pPr>
              <w:pStyle w:val="a4"/>
              <w:bidi w:val="0"/>
              <w:rPr>
                <w:rFonts w:hint="eastAsia"/>
                <w:lang w:val="en-US" w:eastAsia="zh-CN"/>
              </w:rPr>
            </w:pPr>
            <w:r>
              <w:t>哈哈哈哈哈运维监控平台的应用，有效提升了公司运维监控的覆盖面和及时性，缩短了故障发现和处理时间，为保障业务连续稳定运行提供了有力支撑。平台将持续迭代优化，不断提升运维自动化、智能化水平。</w:t>
            </w:r>
          </w:p>
        </w:tc>
        <w:tc>
          <w:tcPr>
            <w:tcW w:w="1343" w:type="dxa"/>
            <w:vAlign w:val="center"/>
          </w:tcPr>
          <w:p>
            <w:pPr>
              <w:spacing w:before="26" w:line="239" w:lineRule="auto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姚耿桂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2025.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.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22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561</Words>
  <Characters>659</Characters>
  <Application>Microsoft Office Word</Application>
  <DocSecurity>0</DocSecurity>
  <Lines>0</Lines>
  <Paragraphs>0</Paragraphs>
  <ScaleCrop>false</ScaleCrop>
  <Company/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2026-06-11T04:23:33Z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