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运维服务交付管理制度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_Toc26338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交付管理总则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_Toc20085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_Toc1721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_Toc31239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_Toc31239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交付内容管理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_Toc12792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_Toc12503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_Toc12503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_Toc23653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_Toc23653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交付方式管理</w:t>
          </w:r>
          <w:r>
            <w:tab/>
          </w:r>
          <w:r>
            <w:fldChar w:fldCharType="begin"/>
          </w:r>
          <w:r>
            <w:instrText xml:space="preserve"> PAGEREF _Toc15082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_Toc11962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现场交付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远程交付</w:t>
          </w:r>
          <w:r>
            <w:tab/>
          </w:r>
          <w:r>
            <w:fldChar w:fldCharType="begin"/>
          </w:r>
          <w:r>
            <w:instrText xml:space="preserve"> PAGEREF _Toc19547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_Toc21179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_Toc21179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交付管理要素</w:t>
          </w:r>
          <w:r>
            <w:tab/>
          </w:r>
          <w:r>
            <w:fldChar w:fldCharType="begin"/>
          </w:r>
          <w:r>
            <w:instrText xml:space="preserve"> PAGEREF _Toc649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人员管理</w:t>
          </w:r>
          <w:r>
            <w:tab/>
          </w:r>
          <w:r>
            <w:fldChar w:fldCharType="begin"/>
          </w:r>
          <w:r>
            <w:instrText xml:space="preserve"> PAGEREF _Toc18497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资源管理</w:t>
          </w:r>
          <w:r>
            <w:tab/>
          </w:r>
          <w:r>
            <w:fldChar w:fldCharType="begin"/>
          </w:r>
          <w:r>
            <w:instrText xml:space="preserve"> PAGEREF _Toc24029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_Toc30252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技术管理</w:t>
          </w:r>
          <w:r>
            <w:tab/>
          </w:r>
          <w:r>
            <w:fldChar w:fldCharType="begin"/>
          </w:r>
          <w:r>
            <w:instrText xml:space="preserve"> PAGEREF _Toc30252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过程管理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客户管理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 </w:instrText>
          </w:r>
          <w:r>
            <w:fldChar w:fldCharType="separate"/>
          </w:r>
          <w:r>
            <w:rPr>
              <w:rFonts w:hint="default"/>
            </w:rPr>
            <w:t xml:space="preserve">7.7. </w:t>
          </w:r>
          <w:r>
            <w:t>预算管理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_Toc21285 </w:instrText>
          </w:r>
          <w:r>
            <w:fldChar w:fldCharType="separate"/>
          </w:r>
          <w:r>
            <w:rPr>
              <w:rFonts w:hint="default"/>
            </w:rPr>
            <w:t xml:space="preserve">7.8. </w:t>
          </w:r>
          <w:r>
            <w:t>风险控制管理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_Toc3366 </w:instrText>
          </w:r>
          <w:r>
            <w:fldChar w:fldCharType="separate"/>
          </w:r>
          <w:r>
            <w:rPr>
              <w:rFonts w:hint="default"/>
            </w:rPr>
            <w:t xml:space="preserve">7.9. </w:t>
          </w:r>
          <w:r>
            <w:t>应急管理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_Toc21894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_Toc31919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_Toc31919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_Toc9301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交付策划活动表</w:t>
      </w:r>
      <w:r>
        <w:tab/>
      </w:r>
      <w:r>
        <w:fldChar w:fldCharType="begin"/>
      </w:r>
      <w:r>
        <w:instrText xml:space="preserve"> PAGEREF _Toc9301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交付实施活动表</w:t>
      </w:r>
      <w:r>
        <w:tab/>
      </w:r>
      <w:r>
        <w:fldChar w:fldCharType="begin"/>
      </w:r>
      <w:r>
        <w:instrText xml:space="preserve"> PAGEREF _Toc431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交付检查活动表</w:t>
      </w:r>
      <w:r>
        <w:tab/>
      </w:r>
      <w:r>
        <w:fldChar w:fldCharType="begin"/>
      </w:r>
      <w:r>
        <w:instrText xml:space="preserve"> PAGEREF _Toc222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_Toc17273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r>
        <w:tab/>
      </w:r>
      <w:r>
        <w:fldChar w:fldCharType="begin"/>
      </w:r>
      <w:r>
        <w:instrText xml:space="preserve"> PAGEREF _Toc17273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_Toc25318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r>
        <w:tab/>
      </w:r>
      <w:r>
        <w:fldChar w:fldCharType="begin"/>
      </w:r>
      <w:r>
        <w:instrText xml:space="preserve"> PAGEREF _Toc25318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_Toc10242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响应支持管理要求表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_Toc18674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r>
        <w:tab/>
      </w:r>
      <w:r>
        <w:fldChar w:fldCharType="begin"/>
      </w:r>
      <w:r>
        <w:instrText xml:space="preserve"> PAGEREF _Toc18674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_Toc9868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优化改善管理要求表</w:t>
      </w:r>
      <w:r>
        <w:tab/>
      </w:r>
      <w:r>
        <w:fldChar w:fldCharType="begin"/>
      </w:r>
      <w:r>
        <w:instrText xml:space="preserve"> PAGEREF _Toc9868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_Toc3580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_Toc26764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r>
        <w:tab/>
      </w:r>
      <w:r>
        <w:fldChar w:fldCharType="begin"/>
      </w:r>
      <w:r>
        <w:instrText xml:space="preserve"> PAGEREF _Toc26764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交付成果管理要求表</w:t>
      </w:r>
      <w:r>
        <w:tab/>
      </w:r>
      <w:r>
        <w:fldChar w:fldCharType="begin"/>
      </w:r>
      <w:r>
        <w:instrText xml:space="preserve"> PAGEREF _Toc31505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_Toc11355 </w:instrText>
      </w:r>
      <w:r>
        <w:fldChar w:fldCharType="separate"/>
      </w:r>
      <w:r>
        <w:rPr>
          <w:rFonts w:hint="eastAsia"/>
          <w:lang w:val="en-US" w:eastAsia="zh-CN"/>
        </w:rPr>
        <w:t>表 7-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r>
        <w:tab/>
      </w:r>
      <w:r>
        <w:fldChar w:fldCharType="begin"/>
      </w:r>
      <w:r>
        <w:instrText xml:space="preserve"> PAGEREF _Toc11355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_Toc15176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资源管理要求表</w:t>
      </w:r>
      <w:r>
        <w:tab/>
      </w:r>
      <w:r>
        <w:fldChar w:fldCharType="begin"/>
      </w:r>
      <w:r>
        <w:instrText xml:space="preserve"> PAGEREF _Toc15176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技术管理要求表</w:t>
      </w:r>
      <w:r>
        <w:tab/>
      </w:r>
      <w:r>
        <w:fldChar w:fldCharType="begin"/>
      </w:r>
      <w:r>
        <w:instrText xml:space="preserve"> PAGEREF _Toc26668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_Toc21464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客户管理要求表</w:t>
      </w:r>
      <w:r>
        <w:tab/>
      </w:r>
      <w:r>
        <w:fldChar w:fldCharType="begin"/>
      </w:r>
      <w:r>
        <w:instrText xml:space="preserve"> PAGEREF _Toc21464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t>预算管理要求表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_Toc17491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t>风险控制管理要求表</w:t>
      </w:r>
      <w:r>
        <w:tab/>
      </w:r>
      <w:r>
        <w:fldChar w:fldCharType="begin"/>
      </w:r>
      <w:r>
        <w:instrText xml:space="preserve"> PAGEREF _Toc17491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t>应急管理要求表</w:t>
      </w:r>
      <w:r>
        <w:tab/>
      </w:r>
      <w:r>
        <w:fldChar w:fldCharType="begin"/>
      </w:r>
      <w:r>
        <w:instrText xml:space="preserve"> PAGEREF _Toc10769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_Toc13157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_Toc23181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输出文件记录表</w:t>
      </w:r>
      <w:r>
        <w:tab/>
      </w:r>
      <w:r>
        <w:fldChar w:fldCharType="begin"/>
      </w:r>
      <w:r>
        <w:instrText xml:space="preserve"> PAGEREF _Toc23181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6338"/>
      <w:bookmarkStart w:id="3" w:name="heading_29"/>
      <w:r>
        <w:t>目的</w:t>
      </w:r>
      <w:bookmarkEnd w:id="1"/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全面规范公司运维服务项目的交付流程，构建标准化、流程化、可衡量、可追溯的服务交付体系，确保服务交付质量稳定满足服务级别协议（SLA）要求，持续提升客户满意度，并为公司申请及维持ITSS信息技术服务运行维护标准符合性提供体系保障，特制定本规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16593"/>
      <w:r>
        <w:t>适用范围</w:t>
      </w:r>
      <w:bookmarkEnd w:id="4"/>
      <w:bookmarkEnd w:id="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规范适用于华风数据(深圳)有限公司（以下简称“公司”）承接的所有运维服务项目。涵盖公司运维部、研发部、产品质量部、综合部等所有参与服务交付的部门及人员，并对服务交付全流程中的各项活动、文档、资源及成果管理具有约束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24159"/>
      <w:r>
        <w:t>交付管理总则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公司采用PDCA（计划-执行-检查-处理）循环管理模式，通过交付策划、交付实施、交付检查、交付改进四个核心环节，实现服务交付质量的闭环管控。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9495"/>
      <w:r>
        <w:t>交付策划</w:t>
      </w:r>
      <w:bookmarkEnd w:id="8"/>
      <w:bookmarkEnd w:id="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9301"/>
      <w:r>
        <w:rPr>
          <w:rFonts w:hint="default"/>
          <w:lang w:val="en-US" w:eastAsia="zh-CN"/>
        </w:rPr>
        <w:t xml:space="preserve"> </w:t>
      </w:r>
      <w:r>
        <w:t>交付策划活动表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622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2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项目启动与交底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与客户召开项目交底会，明确服务范围、SLA指标、沟通机制、应急联络方式，形成《项目交底会议纪要》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编制服务计划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编制《项目服务总计划》和《运维服务交付计划》，细化交付实施、检查、改进计划，明确里程碑节点、交付物、责任人及验收标准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组建服务团队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组建“一线、二线、三线”三级运维服务体系，明确运维部经理、运维项目经理、硬件运维工程师、软件运维工程师、服务台专员、技术支持工程师的岗位职责。核心团队成员配置需参考公司人员岗位说明书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建立资产与配置档案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详细记录客户系统环境信息，建立并维护《系统配置信息台账》，作为所有运维工作的基础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资源与工具筹备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确保运维工具（监控平台、工单系统）、备件、知识库等资源就绪并完成调试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风险评估与预案制定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开展全面风险评估，识别技术、资源、数据安全等风险，制定《风险管理计划》和专项应急预案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0085"/>
      <w:r>
        <w:t>交付实施</w:t>
      </w:r>
      <w:bookmarkEnd w:id="11"/>
      <w:bookmarkEnd w:id="12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431"/>
      <w:r>
        <w:rPr>
          <w:rFonts w:hint="default"/>
          <w:lang w:val="en-US" w:eastAsia="zh-CN"/>
        </w:rPr>
        <w:t xml:space="preserve"> </w:t>
      </w:r>
      <w:r>
        <w:t>交付实施活动表</w:t>
      </w:r>
      <w:bookmarkEnd w:id="1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1"/>
        <w:gridCol w:w="717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1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标准化操作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严格遵循服务计划及《例行操作指导手册》等规范，通过工单系统统一受理、派发、处理所有服务请求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SLA实时监控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建立SLA达成情况实时监控机制，每日统计服务响应时间、故障解决率等关键数据，发现偏差及时预警和整改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分级故障处理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严格执行故障处理流程，一线快速响应和预处理，二线负责疑难故障排查与解决，三线技术支持负责重大故障应急处理和代码级问题攻关。确保所有故障在规定时限内闭环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定期巡检与备份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严格执行“每日轻巡检、每周全巡检、每月深度巡检”制度，并执行数据备份策略，定期开展恢复演练，确保数据安全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信息传递与报告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通过周报、月报、季报等形式，定期向客户及公司管理层同步项目进展、风险状况、服务成果。报告需数据真实、内容完整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721"/>
      <w:r>
        <w:t>交付检查</w:t>
      </w:r>
      <w:bookmarkEnd w:id="14"/>
      <w:bookmarkEnd w:id="15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222"/>
      <w:r>
        <w:rPr>
          <w:rFonts w:hint="default"/>
          <w:lang w:val="en-US" w:eastAsia="zh-CN"/>
        </w:rPr>
        <w:t xml:space="preserve"> </w:t>
      </w:r>
      <w:r>
        <w:t>交付检查活动表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693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93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运维部自查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运维项目经理每月组织项目自查，对照交付计划与SLA要求，检查服务实施情况，形成《自查报告》并自行整改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产品质量部抽查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产品质量部经理每季度对重点项目进行全覆盖抽查，依据《运维服务质量检查表》，重点检查交付计划执行、SLA达成、流程合规性、文档完整性等，填写《交付检查报告》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问题反馈与跟踪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检查结果及时反馈给运维部及公司管理层，作为项目考核与服务改进的重要依据，并纳入问题整改台账跟踪闭环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8"/>
      <w:bookmarkStart w:id="18" w:name="_Toc31239"/>
      <w:r>
        <w:t>交付改进</w:t>
      </w:r>
      <w:bookmarkEnd w:id="17"/>
      <w:bookmarkEnd w:id="1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19" w:name="_Toc1727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bookmarkEnd w:id="1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51"/>
        <w:gridCol w:w="702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0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问题分析与改进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产品质量部牵头，针对检查报告和客户投诉，组织召开专题分析会，制定改进方案，明确整改措施、时限与责任人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服务复盘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定期（如项目结束后或每季度）组织服务复盘会议，总结经验教训，形成《服务改进报告》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体系优化与固化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将改进成果固化到服务流程、操作手册、知识库中，持续完善公司服务交付体系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4638"/>
      <w:bookmarkStart w:id="21" w:name="heading_9"/>
      <w:r>
        <w:t>交付内容管理</w:t>
      </w:r>
      <w:bookmarkEnd w:id="20"/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公司运维服务交付内容涵盖例行操作、响应支持、调研评估、优化改善四大类。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8645"/>
      <w:bookmarkStart w:id="23" w:name="heading_10"/>
      <w:r>
        <w:t>例行操作</w:t>
      </w:r>
      <w:bookmarkEnd w:id="22"/>
      <w:bookmarkEnd w:id="23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531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1"/>
        <w:gridCol w:w="754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针对日常巡检、数据备份、状态监控等例行工作，编制《例行操作工作计划》和《例行操作指导手册》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所有例行操作需严格遵守操作手册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操作记录和数据需及时归档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1"/>
      <w:bookmarkStart w:id="26" w:name="_Toc12792"/>
      <w:r>
        <w:t>响应支持</w:t>
      </w:r>
      <w:bookmarkEnd w:id="25"/>
      <w:bookmarkEnd w:id="2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10242"/>
      <w:r>
        <w:rPr>
          <w:rFonts w:hint="default"/>
          <w:lang w:val="en-US" w:eastAsia="zh-CN"/>
        </w:rPr>
        <w:t xml:space="preserve"> </w:t>
      </w:r>
      <w:r>
        <w:t>响应支持管理要求表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"/>
        <w:gridCol w:w="724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2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针对客户突发故障、服务请求等，需快速响应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服务台作为统一受理窗口，公开受理渠道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故障处理需在工单系统中全流程记录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处理完成后需经客户确认方可关闭工单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2"/>
      <w:bookmarkStart w:id="29" w:name="_Toc12503"/>
      <w:r>
        <w:t>调研评估</w:t>
      </w:r>
      <w:bookmarkEnd w:id="28"/>
      <w:bookmarkEnd w:id="2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0" w:name="_Toc1867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bookmarkEnd w:id="3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74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4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针对系统现状分析、优化建议等需求，编制《调研评估计划》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组织专业团队开展调研，形成《调研评估报告》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跟踪建议落地效果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3653"/>
      <w:bookmarkStart w:id="32" w:name="heading_13"/>
      <w:r>
        <w:t>优化改善</w:t>
      </w:r>
      <w:bookmarkEnd w:id="31"/>
      <w:bookmarkEnd w:id="32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33" w:name="_Toc9868"/>
      <w:r>
        <w:rPr>
          <w:rFonts w:hint="default"/>
          <w:lang w:val="en-US" w:eastAsia="zh-CN"/>
        </w:rPr>
        <w:t xml:space="preserve"> </w:t>
      </w:r>
      <w:r>
        <w:t>优化改善管理要求表</w:t>
      </w:r>
      <w:bookmarkEnd w:id="3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2"/>
        <w:gridCol w:w="754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基于调研评估结果，编制《优化改善方案》，明确优化目标、实施步骤、风险预案及回退方案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实施后设置观察期，编制《优化改善服务总结报告》量化评估效果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4"/>
      <w:bookmarkStart w:id="35" w:name="_Toc15082"/>
      <w:r>
        <w:t>交付方式管理</w:t>
      </w:r>
      <w:bookmarkEnd w:id="34"/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公司采用现场交付与远程交付相结合的方式。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5"/>
      <w:bookmarkStart w:id="37" w:name="_Toc11962"/>
      <w:r>
        <w:t>现场交付</w:t>
      </w:r>
      <w:bookmarkEnd w:id="36"/>
      <w:bookmarkEnd w:id="37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8" w:name="_Toc358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bookmarkEnd w:id="3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96"/>
        <w:gridCol w:w="73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3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需提前与客户沟通确认时间、地点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工程师需遵守客户现场管理规定，特别是数据安全要求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服务完成后由客户签字确认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6"/>
      <w:bookmarkStart w:id="40" w:name="_Toc19547"/>
      <w:r>
        <w:t>远程交付</w:t>
      </w:r>
      <w:bookmarkEnd w:id="39"/>
      <w:bookmarkEnd w:id="40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1" w:name="_Toc2676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bookmarkEnd w:id="4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3"/>
        <w:gridCol w:w="754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需保障网络通畅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必要时对关键操作进行录屏存档，确保服务可追溯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交付前明确各阶段工作内容、目标要求、时间节点，并及时告知客户与工程师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17"/>
      <w:bookmarkStart w:id="43" w:name="_Toc21179"/>
      <w:r>
        <w:t>交付成果管理</w:t>
      </w:r>
      <w:bookmarkEnd w:id="42"/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交付成果需进行全生命周期规范化管理。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31505"/>
      <w:r>
        <w:rPr>
          <w:rFonts w:hint="default"/>
          <w:lang w:val="en-US" w:eastAsia="zh-CN"/>
        </w:rPr>
        <w:t xml:space="preserve"> </w:t>
      </w:r>
      <w:r>
        <w:t>交付成果管理要求表</w:t>
      </w:r>
      <w:bookmarkEnd w:id="4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707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70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明确要求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与客户提前明确交付成果的受众、内容、提交时间及频次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规范格式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所有交付物需使用公司统一文档模板，确保专业性与统一性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审核流程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交付成果由指定人员编写后，经运维项目经理审核确认方可提交客户；重要报告需先通过公司内部审核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归档制度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建立交付成果归档制度。运维项目经理负责在项目过程中本地保存所有交付成果，项目结束后统一提交综合部归档，并设置权限管理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8"/>
      <w:bookmarkStart w:id="46" w:name="_Toc649"/>
      <w:r>
        <w:t>交付管理要素</w:t>
      </w:r>
      <w:bookmarkEnd w:id="45"/>
      <w:bookmarkEnd w:id="4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_Toc18497"/>
      <w:bookmarkStart w:id="48" w:name="heading_19"/>
      <w:r>
        <w:t>人员管理</w:t>
      </w:r>
      <w:bookmarkEnd w:id="47"/>
      <w:bookmarkEnd w:id="4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1135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bookmarkEnd w:id="4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691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9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岗位职责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明确运维部经理、运维项目经理、硬件运维工程师、软件运维工程师、服务台专员、技术支持工程师等各岗位职责，建立清晰的三级运维体系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人员储备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建立人才储备库，关键岗位（如运维项目经理、技术支持工程师）需有AB角备份，保障服务可持续性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人员培训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制定年度培训计划，开展新员工入职、在岗技能提升、安全合规等培训。鼓励员工考取专业资质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人员考核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建立多维度考核体系，考核指标包括SLA达成率、故障解决率、客户满意度、知识贡献度等，考核结果与绩效挂钩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heading_20"/>
      <w:bookmarkStart w:id="51" w:name="_Toc24029"/>
      <w:r>
        <w:t>资源管理</w:t>
      </w:r>
      <w:bookmarkEnd w:id="50"/>
      <w:bookmarkEnd w:id="51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15176"/>
      <w:r>
        <w:rPr>
          <w:rFonts w:hint="default"/>
          <w:lang w:val="en-US" w:eastAsia="zh-CN"/>
        </w:rPr>
        <w:t xml:space="preserve"> </w:t>
      </w:r>
      <w:r>
        <w:t>资源管理要求表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67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7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服务台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设立统一服务台，集中受理用户请求与报障，严格遵照《服务台管理制度》运营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运维工具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使用监控平台、工单系统等适配工具，并遵守《运维服务工具管理制度》，确保数据可追溯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备件管理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依据SLA制定备件储备计划，建立备件全流程管理机制，遵照《备件库管理制度》执行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服务知识库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建立公司级服务知识库，鼓励员工沉淀知识，提升问题解决效率，遵照《知识库管理制度》执行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软件管理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建立软件资产管理体系，遵照《软件库管理制度》执行，保障软件授权合规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_Toc30252"/>
      <w:bookmarkStart w:id="54" w:name="heading_21"/>
      <w:r>
        <w:t>技术管理</w:t>
      </w:r>
      <w:bookmarkEnd w:id="53"/>
      <w:bookmarkEnd w:id="54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5" w:name="_Toc26668"/>
      <w:r>
        <w:rPr>
          <w:rFonts w:hint="default"/>
          <w:lang w:val="en-US" w:eastAsia="zh-CN"/>
        </w:rPr>
        <w:t xml:space="preserve"> </w:t>
      </w:r>
      <w:r>
        <w:t>技术管理要求表</w:t>
      </w:r>
      <w:bookmarkEnd w:id="5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34"/>
        <w:gridCol w:w="684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3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8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技术规划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结合ITSS要求和运维现状，制定技术研发规划，重点布局智能化运维、安全防护等领域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研发管理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对于大型研发项目，由研发部提交申请，经公司评估后统筹协调资源，并严格遵照《技术研发管理制度》执行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成果转化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建立技术成果转化机制，将研发成果（如自研工具、优化脚本）及时应用于实际运维服务中，提升服务效率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_Toc14728"/>
      <w:bookmarkStart w:id="57" w:name="heading_22"/>
      <w:r>
        <w:t>过程管理</w:t>
      </w:r>
      <w:bookmarkEnd w:id="56"/>
      <w:bookmarkEnd w:id="5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严格遵照公司运维服务管理体系过程制度文件及记录模板开展工作，确保事件、问题、变更、发布、配置、服务级别等管理流程相互关联、协同运作。所有过程活动均需在工单系统中留痕。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8" w:name="heading_23"/>
      <w:bookmarkStart w:id="59" w:name="_Toc17288"/>
      <w:r>
        <w:t>客户管理</w:t>
      </w:r>
      <w:bookmarkEnd w:id="58"/>
      <w:bookmarkEnd w:id="5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60" w:name="_Toc21464"/>
      <w:r>
        <w:rPr>
          <w:rFonts w:hint="default"/>
          <w:lang w:val="en-US" w:eastAsia="zh-CN"/>
        </w:rPr>
        <w:t xml:space="preserve"> </w:t>
      </w:r>
      <w:r>
        <w:t>客户管理要求表</w:t>
      </w:r>
      <w:bookmarkEnd w:id="6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38"/>
        <w:gridCol w:w="634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沟通类型</w:t>
            </w:r>
          </w:p>
        </w:tc>
        <w:tc>
          <w:tcPr>
            <w:tcW w:w="63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例行沟通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通过文档沟通（周报、月报）和会议沟通（项目例会、汇报会）建立常态化沟通机制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非例行沟通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在遇到突发问题、需求变更时，及时通过电话、邮件、现场交流等方式快速协调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响应支持沟通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服务台作为统一报障接口，需在受理时告知客户响应时间；处理过程中及时同步进展；解决后进行回访确认满意度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heading_24"/>
      <w:bookmarkStart w:id="62" w:name="_Toc32382"/>
      <w:r>
        <w:t>质量管理</w:t>
      </w:r>
      <w:bookmarkEnd w:id="61"/>
      <w:bookmarkEnd w:id="6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由运维项目经理全面负责，遵循公司质量管理相关制度。产品质量部进行监督和抽查，内容涵盖：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SLA达成评估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客户满意度调查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风险管控检查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文档合规性审核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运维项目经理需定期向公司及客户汇报质量管理工作。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heading_25"/>
      <w:bookmarkStart w:id="64" w:name="_Toc811"/>
      <w:r>
        <w:t>预算管理</w:t>
      </w:r>
      <w:bookmarkEnd w:id="63"/>
      <w:bookmarkEnd w:id="64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65" w:name="_Toc4613"/>
      <w:r>
        <w:rPr>
          <w:rFonts w:hint="default"/>
          <w:lang w:val="en-US" w:eastAsia="zh-CN"/>
        </w:rPr>
        <w:t xml:space="preserve"> </w:t>
      </w:r>
      <w:r>
        <w:t>预算管理要求表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714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71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预算编制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运维项目经理结合服务合同、交付计划，编制项目年度、季度预算，涵盖人员成本、备件采购、工具运维、培训、差旅等所有相关费用，提交综合部（财务）审核。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预算审核与审批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综合部（财务）对预算的合理性、合规性进行审核，审核通过后提交公司管理层审批，审批通过后正式生效执行。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预算执行与监控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运维项目经理严格按照审批后的预算执行各项支出，每月统计预算执行情况，对比实际支出与预算标准，形成《预算执行报告》，同步至综合部（财务）及公司管理层。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预算调整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因项目需求变更、市场价格波动等原因需调整预算的，由运维项目经理提交《预算调整申请》，说明调整原因、调整金额及依据，经综合部（财务）审核、公司管理层审批后，方可调整执行。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预算复盘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项目每季度及项目结束后，运维项目经理联合综合部（财务）开展预算复盘，分析预算偏差原因，总结预算管理经验，形成《预算复盘报告》，为后续项目预算编制提供参考。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heading_1"/>
      <w:bookmarkStart w:id="67" w:name="_Toc21285"/>
      <w:r>
        <w:t>风险控制管理</w:t>
      </w:r>
      <w:bookmarkEnd w:id="66"/>
      <w:bookmarkEnd w:id="6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服务交付全流程需建立全面风险管控体系，遵循“预防为主、防治结合、全程管控”的原则，确保风险可识别、可评估、可控制、可追溯，保障服务交付顺利推进。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68" w:name="_Toc17491"/>
      <w:r>
        <w:rPr>
          <w:rFonts w:hint="default"/>
          <w:lang w:val="en-US" w:eastAsia="zh-CN"/>
        </w:rPr>
        <w:t xml:space="preserve"> </w:t>
      </w:r>
      <w:r>
        <w:t>风险控制管理要求表</w:t>
      </w:r>
      <w:bookmarkEnd w:id="6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685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68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风险识别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交付策划阶段，由运维项目经理牵头，组织服务团队全面识别技术风险、资源风险、人员风险、客户风险、安全风险、合规风险等，建立《风险识别台账》，明确风险描述、潜在影响范围及触发条件。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风险评估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采用定性与定量相结合的方式，对识别的风险进行评估，划分风险等级（高、中、低），分析风险发生概率及可能造成的损失，形成《风险评估报告》，明确重点管控风险。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风险应对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针对不同等级的风险制定对应应对措施：高风险项制定专项防控方案及应急处置预案；中风险项明确管控责任人及防控措施；低风险项定期监控，建立风险应对措施台账，确保措施可落地、可执行。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风险监控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交付实施全过程中，运维项目经理定期（每月）检查风险管控措施执行情况，更新《风险识别台账》，跟踪风险变化趋势，对新增风险及时识别、评估并制定应对措施，形成《风险监控报告》。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风险复盘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项目每季度及项目结束后，组织风险复盘会议，总结风险管控经验教训，分析风险应对措施的有效性，优化风险管控流程及方法，形成《风险复盘报告》，纳入公司知识库。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_Toc3366"/>
      <w:r>
        <w:t>应急管理</w:t>
      </w:r>
      <w:bookmarkEnd w:id="6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为有效应对服务交付过程中突发的重大故障、安全事件、自然灾害等突发事件，最大限度降低事件对服务交付质量、客户业务及公司声誉的影响，建立标准化应急管理体系。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70" w:name="_Toc10769"/>
      <w:r>
        <w:rPr>
          <w:rFonts w:hint="default"/>
          <w:lang w:val="en-US" w:eastAsia="zh-CN"/>
        </w:rPr>
        <w:t xml:space="preserve"> </w:t>
      </w:r>
      <w:r>
        <w:t>应急管理要求表</w:t>
      </w:r>
      <w:bookmarkEnd w:id="7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44"/>
        <w:gridCol w:w="563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56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应急预案编制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结合风险识别结果，编制专项应急预案，涵盖重大故障应急、数据安全应急、人员应急、自然灾害应急等，明确应急组织架构、应急响应流程、责任分工、处置措施、应急资源及回退方案，经公司管理层审批后生效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应急组织与职责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成立应急领导小组（由公司管理层、运维部、研发部、产品质量部组成），明确组长、副组长及各成员职责；应急执行小组由运维项目经理、一线/二线/三线工程师组成，负责应急事件的现场处置、信息上报及后续跟进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应急响应与处置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突发事件发生后，应急执行小组立即启动对应应急预案，按照应急流程开展处置工作，及时控制事态发展；同步向应急领导小组及客户上报事件进展、处置措施及预计恢复时间，确保信息传递及时、准确。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每半年组织一次应急演练，针对重点应急预案开展实战化演练，检验应急预案的可行性、应急团队的处置能力及应急资源的可用性，演练后形成《应急演练报告》，针对存在的问题优化应急预案及处置流程。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应急总结与改进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应急事件处置完成后，应急领导小组组织召开总结会议，分析事件原因、处置过程中的问题及经验教训，优化应急预案、应急措施及应急管理流程，形成《应急处置总结报告》，纳入服务改进体系。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_Toc21894"/>
      <w:r>
        <w:t>关键绩效指标（KPI）</w:t>
      </w:r>
      <w:bookmarkEnd w:id="3"/>
      <w:bookmarkEnd w:id="71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2" w:name="heading_3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3" w:name="_Toc13157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2"/>
      <w:bookmarkEnd w:id="7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交付通过率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bookmarkStart w:id="74" w:name="_GoBack"/>
            <w:r>
              <w:rPr>
                <w:rFonts w:hint="default"/>
                <w:lang w:val="en-US" w:eastAsia="zh-CN"/>
              </w:rPr>
              <w:t>（一次交付成功项目数 / 总交付项目数）× 100%</w:t>
            </w:r>
            <w:bookmarkEnd w:id="74"/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5" w:name="_Toc31919"/>
      <w:bookmarkStart w:id="76" w:name="heading_31"/>
      <w:r>
        <w:t>相关文件</w:t>
      </w:r>
      <w:bookmarkEnd w:id="75"/>
      <w:bookmarkEnd w:id="76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《服务台管理制度》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《运维服务工具管理制度》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《备件库管理制度》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《知识库管理制度》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《软件库管理制度》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《技术研发管理制度》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《质量管理管理制度》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《财务预算管理制度》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《风险管理制度》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《应急管理制度》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《人员岗位职责说明书》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《ITSS信息技术服务运行维护标准符合性管理文件》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7" w:name="_Toc7176"/>
      <w:bookmarkStart w:id="78" w:name="heading_32"/>
      <w:r>
        <w:t>输出的文件及记录</w:t>
      </w:r>
      <w:bookmarkEnd w:id="77"/>
      <w:bookmarkEnd w:id="7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9" w:name="heading_33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0" w:name="_Toc23181"/>
      <w:r>
        <w:rPr>
          <w:rFonts w:hint="default"/>
          <w:lang w:val="en-US" w:eastAsia="zh-CN"/>
        </w:rPr>
        <w:t xml:space="preserve"> </w:t>
      </w:r>
      <w:r>
        <w:t>输出文件记录表</w:t>
      </w:r>
      <w:bookmarkEnd w:id="79"/>
      <w:bookmarkEnd w:id="8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9"/>
        <w:gridCol w:w="1758"/>
        <w:gridCol w:w="321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3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文件/记录名称</w:t>
            </w:r>
          </w:p>
        </w:tc>
        <w:tc>
          <w:tcPr>
            <w:tcW w:w="17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生成环节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责任部门/人员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项目交底会议纪要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项目服务总计划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运维服务交付计划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系统配置信息台账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交付策划/实施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风险管理计划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例行操作工作计划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工单记录（受理/处理/闭环）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服务台专员/运维工程师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巡检报告/备份记录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服务周报/月报/季报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自查报告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服务改进报告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交付改进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产品质量部/运维项目经理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预算编制/执行/复盘报告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运维项目经理/综合部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风险识别/评估/监控/复盘报告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应急预案/演练/处置总结报告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应急领导小组/运维项目经理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客户满意度调查记录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交付检查/实施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产品质量部/运维项目经理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404E3C6"/>
    <w:multiLevelType w:val="singleLevel"/>
    <w:tmpl w:val="F404E3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B7902D"/>
    <w:multiLevelType w:val="singleLevel"/>
    <w:tmpl w:val="11B790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2250</Words>
  <Characters>2468</Characters>
  <Application>Microsoft Office Word</Application>
  <DocSecurity>0</DocSecurity>
  <Lines>0</Lines>
  <Paragraphs>0</Paragraphs>
  <ScaleCrop>false</ScaleCrop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