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20187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 w14:paraId="073D025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运维工具自评估报告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141FE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C2E8F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758D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SFKJ-ITSS-0809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E67CA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D35E6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3B51B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8D324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EFD0D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A525B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5CE88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2026.07.22</w:t>
            </w:r>
          </w:p>
        </w:tc>
      </w:tr>
      <w:tr w14:paraId="48B1A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B8C49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BFD07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F2FF5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582E9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2026.07.22</w:t>
            </w:r>
          </w:p>
        </w:tc>
      </w:tr>
      <w:tr w14:paraId="31E38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8518A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E17BA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F1865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BB011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2026.07.22</w:t>
            </w:r>
          </w:p>
        </w:tc>
      </w:tr>
      <w:tr w14:paraId="330FA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079FE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60A5B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49D6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16348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2026.07.22</w:t>
            </w:r>
          </w:p>
        </w:tc>
      </w:tr>
    </w:tbl>
    <w:p w14:paraId="169D0BC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C9FFC9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251A3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DBDA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B6B4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8B88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B18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422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332B4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44F4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C59D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2026.07.22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84E5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80DF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6875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299AD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7304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0473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E696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6A01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30A3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2551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625D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C095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D9B0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DE98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09D6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6BB6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7D2F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A4B9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FD6D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127C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DDF0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44395DE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29"/>
        <w:tblW w:w="1452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5"/>
        <w:gridCol w:w="1307"/>
        <w:gridCol w:w="2874"/>
        <w:gridCol w:w="2543"/>
        <w:gridCol w:w="1986"/>
        <w:gridCol w:w="3196"/>
        <w:gridCol w:w="1343"/>
      </w:tblGrid>
      <w:tr w14:paraId="548B0E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1" w:hRule="atLeast"/>
        </w:trPr>
        <w:tc>
          <w:tcPr>
            <w:tcW w:w="1275" w:type="dxa"/>
            <w:shd w:val="clear" w:color="auto" w:fill="E5E5E5"/>
          </w:tcPr>
          <w:p w14:paraId="167CE31B">
            <w:pPr>
              <w:spacing w:before="215" w:line="289" w:lineRule="auto"/>
              <w:ind w:left="538" w:right="110" w:hanging="42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1"/>
                <w:szCs w:val="21"/>
              </w:rPr>
              <w:t>运维工具分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1"/>
                <w:szCs w:val="21"/>
              </w:rPr>
              <w:t>类</w:t>
            </w:r>
          </w:p>
        </w:tc>
        <w:tc>
          <w:tcPr>
            <w:tcW w:w="1307" w:type="dxa"/>
            <w:shd w:val="clear" w:color="auto" w:fill="E5E5E5"/>
          </w:tcPr>
          <w:p w14:paraId="193F299D">
            <w:pPr>
              <w:pStyle w:val="30"/>
              <w:spacing w:line="303" w:lineRule="auto"/>
              <w:rPr>
                <w:sz w:val="21"/>
                <w:szCs w:val="21"/>
              </w:rPr>
            </w:pPr>
          </w:p>
          <w:p w14:paraId="75A752E4">
            <w:pPr>
              <w:spacing w:before="65" w:line="229" w:lineRule="auto"/>
              <w:ind w:left="23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1"/>
                <w:szCs w:val="21"/>
              </w:rPr>
              <w:t>工具名称</w:t>
            </w:r>
          </w:p>
        </w:tc>
        <w:tc>
          <w:tcPr>
            <w:tcW w:w="2874" w:type="dxa"/>
            <w:shd w:val="clear" w:color="auto" w:fill="E5E5E5"/>
          </w:tcPr>
          <w:p w14:paraId="7385DD9B">
            <w:pPr>
              <w:spacing w:before="214" w:line="229" w:lineRule="auto"/>
              <w:ind w:left="5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1"/>
                <w:szCs w:val="21"/>
              </w:rPr>
              <w:t>主要功能</w:t>
            </w:r>
          </w:p>
          <w:p w14:paraId="1594324C">
            <w:pPr>
              <w:spacing w:before="63" w:line="228" w:lineRule="auto"/>
              <w:ind w:left="12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1"/>
                <w:szCs w:val="21"/>
              </w:rPr>
              <w:t>（关键功能说明）</w:t>
            </w:r>
          </w:p>
        </w:tc>
        <w:tc>
          <w:tcPr>
            <w:tcW w:w="2543" w:type="dxa"/>
            <w:shd w:val="clear" w:color="auto" w:fill="E5E5E5"/>
          </w:tcPr>
          <w:p w14:paraId="60742167">
            <w:pPr>
              <w:spacing w:before="214" w:line="228" w:lineRule="auto"/>
              <w:rPr>
                <w:rFonts w:ascii="宋体" w:hAnsi="宋体" w:eastAsia="宋体" w:cs="宋体"/>
                <w:b/>
                <w:bCs/>
                <w:spacing w:val="6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1"/>
                <w:szCs w:val="21"/>
              </w:rPr>
              <w:t>使用情况说明</w:t>
            </w:r>
          </w:p>
          <w:p w14:paraId="4B3C20F3">
            <w:pPr>
              <w:spacing w:before="214" w:line="228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1"/>
                <w:szCs w:val="21"/>
              </w:rPr>
              <w:t>（工具使用的客户及项目）</w:t>
            </w:r>
          </w:p>
        </w:tc>
        <w:tc>
          <w:tcPr>
            <w:tcW w:w="1986" w:type="dxa"/>
            <w:shd w:val="clear" w:color="auto" w:fill="E5E5E5"/>
          </w:tcPr>
          <w:p w14:paraId="1E888F3E">
            <w:pPr>
              <w:spacing w:before="58" w:line="228" w:lineRule="auto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1"/>
                <w:szCs w:val="21"/>
              </w:rPr>
              <w:t>工具来源</w:t>
            </w:r>
          </w:p>
          <w:p w14:paraId="5E2D9CB0">
            <w:pPr>
              <w:spacing w:before="66" w:line="263" w:lineRule="auto"/>
              <w:ind w:right="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1"/>
                <w:szCs w:val="21"/>
              </w:rPr>
              <w:t>（开源工具、</w:t>
            </w:r>
            <w:r>
              <w:rPr>
                <w:rFonts w:ascii="宋体" w:hAnsi="宋体" w:eastAsia="宋体" w:cs="宋体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1"/>
                <w:szCs w:val="21"/>
              </w:rPr>
              <w:t>自主</w:t>
            </w:r>
            <w:r>
              <w:rPr>
                <w:rFonts w:ascii="宋体" w:hAnsi="宋体" w:eastAsia="宋体" w:cs="宋体"/>
                <w:b/>
                <w:bCs/>
                <w:spacing w:val="3"/>
                <w:sz w:val="21"/>
                <w:szCs w:val="21"/>
              </w:rPr>
              <w:t>研发、外购的说明）</w:t>
            </w:r>
          </w:p>
        </w:tc>
        <w:tc>
          <w:tcPr>
            <w:tcW w:w="3196" w:type="dxa"/>
            <w:shd w:val="clear" w:color="auto" w:fill="E5E5E5"/>
          </w:tcPr>
          <w:p w14:paraId="18BADEA0">
            <w:pPr>
              <w:pStyle w:val="30"/>
              <w:spacing w:line="303" w:lineRule="auto"/>
              <w:rPr>
                <w:sz w:val="21"/>
                <w:szCs w:val="21"/>
              </w:rPr>
            </w:pPr>
          </w:p>
          <w:p w14:paraId="682522DD">
            <w:pPr>
              <w:spacing w:before="65" w:line="226" w:lineRule="auto"/>
              <w:ind w:left="76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7"/>
                <w:sz w:val="21"/>
                <w:szCs w:val="21"/>
              </w:rPr>
              <w:t>使用效果评估意见</w:t>
            </w:r>
          </w:p>
        </w:tc>
        <w:tc>
          <w:tcPr>
            <w:tcW w:w="1343" w:type="dxa"/>
            <w:shd w:val="clear" w:color="auto" w:fill="E5E5E5"/>
          </w:tcPr>
          <w:p w14:paraId="7D0688A4">
            <w:pPr>
              <w:spacing w:before="215" w:line="290" w:lineRule="auto"/>
              <w:ind w:left="476" w:right="302" w:hanging="16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1"/>
                <w:szCs w:val="21"/>
              </w:rPr>
              <w:t>评价人/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1"/>
                <w:szCs w:val="21"/>
              </w:rPr>
              <w:t>时间</w:t>
            </w:r>
          </w:p>
        </w:tc>
      </w:tr>
      <w:tr w14:paraId="192AB2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6" w:hRule="atLeast"/>
        </w:trPr>
        <w:tc>
          <w:tcPr>
            <w:tcW w:w="1275" w:type="dxa"/>
            <w:vAlign w:val="center"/>
          </w:tcPr>
          <w:p w14:paraId="7E2A3308">
            <w:pPr>
              <w:spacing w:before="78" w:line="243" w:lineRule="auto"/>
              <w:ind w:right="154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过程管理</w:t>
            </w:r>
            <w:r>
              <w:rPr>
                <w:rFonts w:ascii="宋体" w:hAnsi="宋体" w:eastAsia="宋体" w:cs="宋体"/>
                <w:b/>
                <w:bCs/>
                <w:spacing w:val="-9"/>
                <w:sz w:val="21"/>
                <w:szCs w:val="21"/>
              </w:rPr>
              <w:t>工具</w:t>
            </w:r>
          </w:p>
        </w:tc>
        <w:tc>
          <w:tcPr>
            <w:tcW w:w="1307" w:type="dxa"/>
            <w:vAlign w:val="center"/>
          </w:tcPr>
          <w:p w14:paraId="61C16315">
            <w:pPr>
              <w:spacing w:line="219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ITOP</w:t>
            </w:r>
          </w:p>
        </w:tc>
        <w:tc>
          <w:tcPr>
            <w:tcW w:w="2874" w:type="dxa"/>
          </w:tcPr>
          <w:p w14:paraId="112F4008">
            <w:pPr>
              <w:pStyle w:val="32"/>
              <w:bidi w:val="0"/>
              <w:ind w:left="0" w:leftChars="0" w:firstLine="0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iTop是公司采用的开源运维管理平台，集成了服务台、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知识库</w:t>
            </w:r>
            <w:r>
              <w:rPr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事件</w:t>
            </w:r>
            <w:r>
              <w:rPr>
                <w:sz w:val="21"/>
                <w:szCs w:val="21"/>
              </w:rPr>
              <w:t>管理、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问题管理、变更管理</w:t>
            </w:r>
            <w:r>
              <w:rPr>
                <w:sz w:val="21"/>
                <w:szCs w:val="21"/>
              </w:rPr>
              <w:t>等功能模块，有效提升了运维管理效率。</w:t>
            </w:r>
            <w:bookmarkStart w:id="1" w:name="_GoBack"/>
            <w:bookmarkEnd w:id="1"/>
          </w:p>
        </w:tc>
        <w:tc>
          <w:tcPr>
            <w:tcW w:w="2543" w:type="dxa"/>
            <w:vAlign w:val="center"/>
          </w:tcPr>
          <w:p w14:paraId="5AB7DA1F">
            <w:pPr>
              <w:pStyle w:val="42"/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国泰新点大OA系统运维服务项目</w:t>
            </w:r>
          </w:p>
          <w:p w14:paraId="19D738F5">
            <w:pPr>
              <w:pStyle w:val="42"/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镇海区系统办公系统数据库技术服务项目</w:t>
            </w:r>
          </w:p>
          <w:p w14:paraId="54A6381F">
            <w:pPr>
              <w:pStyle w:val="42"/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宁波浦安主机运维服务项目</w:t>
            </w:r>
          </w:p>
          <w:p w14:paraId="5CD0FB32">
            <w:pPr>
              <w:pStyle w:val="42"/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宁波睿网机房运维服务项目</w:t>
            </w:r>
          </w:p>
          <w:p w14:paraId="67E42B40">
            <w:pPr>
              <w:pStyle w:val="42"/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宁波超创主机运维服务项目</w:t>
            </w:r>
          </w:p>
        </w:tc>
        <w:tc>
          <w:tcPr>
            <w:tcW w:w="1986" w:type="dxa"/>
            <w:vAlign w:val="center"/>
          </w:tcPr>
          <w:p w14:paraId="4DFF90A6">
            <w:pPr>
              <w:spacing w:before="78" w:line="22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开源</w:t>
            </w:r>
          </w:p>
        </w:tc>
        <w:tc>
          <w:tcPr>
            <w:tcW w:w="3196" w:type="dxa"/>
          </w:tcPr>
          <w:p w14:paraId="73F7EB35">
            <w:pPr>
              <w:pStyle w:val="42"/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iTop平台的应用有效提升了公司运维服务的效率和质量，各项KPI指标持续达标，客户满意度稳步提升，为运维服务能力体系建设提供了工具支撑。</w:t>
            </w:r>
          </w:p>
        </w:tc>
        <w:tc>
          <w:tcPr>
            <w:tcW w:w="1343" w:type="dxa"/>
            <w:vAlign w:val="center"/>
          </w:tcPr>
          <w:p w14:paraId="208B2016">
            <w:pPr>
              <w:spacing w:before="26" w:line="239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lang w:val="en-US" w:eastAsia="zh-CN"/>
              </w:rPr>
              <w:t>汪锦坤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2026.07.</w:t>
            </w:r>
            <w:r>
              <w:rPr>
                <w:rFonts w:hint="eastAsia" w:ascii="宋体" w:hAnsi="宋体" w:cs="宋体"/>
                <w:spacing w:val="-2"/>
                <w:sz w:val="21"/>
                <w:szCs w:val="21"/>
                <w:lang w:val="en-US" w:eastAsia="zh-CN"/>
              </w:rPr>
              <w:t>22</w:t>
            </w:r>
          </w:p>
        </w:tc>
      </w:tr>
      <w:tr w14:paraId="64E08C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7" w:hRule="atLeast"/>
        </w:trPr>
        <w:tc>
          <w:tcPr>
            <w:tcW w:w="1275" w:type="dxa"/>
            <w:vAlign w:val="center"/>
          </w:tcPr>
          <w:p w14:paraId="6FEF5D5C">
            <w:pPr>
              <w:spacing w:before="78" w:line="22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监控工具</w:t>
            </w:r>
          </w:p>
        </w:tc>
        <w:tc>
          <w:tcPr>
            <w:tcW w:w="1307" w:type="dxa"/>
            <w:vAlign w:val="center"/>
          </w:tcPr>
          <w:p w14:paraId="4087A9F0">
            <w:pPr>
              <w:pStyle w:val="30"/>
              <w:spacing w:line="262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运维监控平台</w:t>
            </w:r>
          </w:p>
        </w:tc>
        <w:tc>
          <w:tcPr>
            <w:tcW w:w="2874" w:type="dxa"/>
          </w:tcPr>
          <w:p w14:paraId="4B5F8C34">
            <w:pPr>
              <w:pStyle w:val="32"/>
              <w:ind w:left="0" w:leftChars="0" w:firstLine="0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实现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color="auto" w:fill="FFFFFF"/>
              </w:rPr>
              <w:t>实时掌握IT资源的运行状态，快速定位故障，保障业务连续稳定运行。平台采用模块化设计，覆盖主机、云资源、应用性能、数据库等核心监控场景，支持从基础设施到业务应用的立体化监控。</w:t>
            </w:r>
          </w:p>
        </w:tc>
        <w:tc>
          <w:tcPr>
            <w:tcW w:w="2543" w:type="dxa"/>
            <w:vAlign w:val="center"/>
          </w:tcPr>
          <w:p w14:paraId="364B9CBE">
            <w:pPr>
              <w:pStyle w:val="42"/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国泰新点大OA系统运维服务项目</w:t>
            </w:r>
          </w:p>
          <w:p w14:paraId="4D75F4BD">
            <w:pPr>
              <w:pStyle w:val="42"/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镇海区系统办公系统数据库技术服务项目</w:t>
            </w:r>
          </w:p>
          <w:p w14:paraId="6390B0A6">
            <w:pPr>
              <w:pStyle w:val="42"/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宁波超创主机运维服务项目</w:t>
            </w:r>
          </w:p>
        </w:tc>
        <w:tc>
          <w:tcPr>
            <w:tcW w:w="1986" w:type="dxa"/>
            <w:vAlign w:val="center"/>
          </w:tcPr>
          <w:p w14:paraId="75999597">
            <w:pPr>
              <w:spacing w:before="78" w:line="221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自研</w:t>
            </w:r>
          </w:p>
        </w:tc>
        <w:tc>
          <w:tcPr>
            <w:tcW w:w="3196" w:type="dxa"/>
          </w:tcPr>
          <w:p w14:paraId="47949E15">
            <w:pPr>
              <w:pStyle w:val="42"/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运维监控平台的应用，有效提升了公司运维监控的覆盖面和及时性，缩短了故障发现和处理时间，为保障业务连续稳定运行提供了有力支撑。平台将持续迭代优化，不断提升运维自动化、智能化水平。</w:t>
            </w:r>
          </w:p>
        </w:tc>
        <w:tc>
          <w:tcPr>
            <w:tcW w:w="1343" w:type="dxa"/>
            <w:vAlign w:val="center"/>
          </w:tcPr>
          <w:p w14:paraId="0C6CBC83">
            <w:pPr>
              <w:spacing w:before="26" w:line="239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lang w:val="en-US" w:eastAsia="zh-CN"/>
              </w:rPr>
              <w:t>汪锦坤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2026.07.</w:t>
            </w:r>
            <w:r>
              <w:rPr>
                <w:rFonts w:hint="eastAsia" w:ascii="宋体" w:hAnsi="宋体" w:cs="宋体"/>
                <w:spacing w:val="-2"/>
                <w:sz w:val="21"/>
                <w:szCs w:val="21"/>
                <w:lang w:val="en-US" w:eastAsia="zh-CN"/>
              </w:rPr>
              <w:t>22</w:t>
            </w:r>
          </w:p>
        </w:tc>
      </w:tr>
    </w:tbl>
    <w:p w14:paraId="22CFDB0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9175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75</Words>
  <Characters>127</Characters>
  <Lines>0</Lines>
  <Paragraphs>0</Paragraphs>
  <TotalTime>0</TotalTime>
  <ScaleCrop>false</ScaleCrop>
  <LinksUpToDate>false</LinksUpToDate>
  <CharactersWithSpaces>127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2026-09-10T16:13:31Z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eyJoZGlkIjoiMDY5NmFjMmM4ZTljMGJiZDAxN2JmYTc0NGI0NmFiNDgiLCJ1c2VySWQiOiIxMDc1MzgyOSJ9</vt:lpwstr>
  </property>
</Properties>
</file>