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‌数飞科技(宁波)有限公司</w:t>
      </w:r>
      <w:bookmarkEnd w:id="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2026年国电电力湖南新能源系统运维项目</w:t>
      </w:r>
      <w:r>
        <w:rPr>
          <w:rFonts w:hint="eastAsia"/>
          <w:lang w:val="en-US" w:eastAsia="zh-CN"/>
        </w:rPr>
        <w:br/>
      </w:r>
      <w:r>
        <w:rPr>
          <w:rFonts w:hint="eastAsia"/>
          <w:lang w:val="en-US" w:eastAsia="zh-CN"/>
        </w:rPr>
        <w:t>2026年度应急演练大纲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SFKJ-ITSS-1002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汪锦坤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马盛艳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陶飞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2026.1.3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汪锦坤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_Toc1151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演练目的</w:t>
          </w:r>
          <w:r>
            <w:tab/>
          </w:r>
          <w:r>
            <w:fldChar w:fldCharType="begin"/>
          </w:r>
          <w:r>
            <w:instrText xml:space="preserve"> PAGEREF _Toc1151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_Toc22516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演练范围</w:t>
          </w:r>
          <w:r>
            <w:tab/>
          </w:r>
          <w:r>
            <w:fldChar w:fldCharType="begin"/>
          </w:r>
          <w:r>
            <w:instrText xml:space="preserve"> PAGEREF _Toc22516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_Toc23267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演练组织</w:t>
          </w:r>
          <w:r>
            <w:tab/>
          </w:r>
          <w:r>
            <w:fldChar w:fldCharType="begin"/>
          </w:r>
          <w:r>
            <w:instrText xml:space="preserve"> PAGEREF _Toc23267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_Toc13343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演练场景</w:t>
          </w:r>
          <w:r>
            <w:tab/>
          </w:r>
          <w:r>
            <w:fldChar w:fldCharType="begin"/>
          </w:r>
          <w:r>
            <w:instrText xml:space="preserve"> PAGEREF _Toc13343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_Toc13447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演练评估</w:t>
          </w:r>
          <w:r>
            <w:tab/>
          </w:r>
          <w:r>
            <w:fldChar w:fldCharType="begin"/>
          </w:r>
          <w:r>
            <w:instrText xml:space="preserve"> PAGEREF _Toc13447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_Toc14443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相关文件</w:t>
          </w:r>
          <w:r>
            <w:tab/>
          </w:r>
          <w:r>
            <w:fldChar w:fldCharType="begin"/>
          </w:r>
          <w:r>
            <w:instrText xml:space="preserve"> PAGEREF _Toc14443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_Toc26131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演练基本信息表</w:t>
      </w:r>
      <w:r>
        <w:tab/>
      </w:r>
      <w:r>
        <w:fldChar w:fldCharType="begin"/>
      </w:r>
      <w:r>
        <w:instrText xml:space="preserve"> PAGEREF _Toc26131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_Toc10066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演练岗位职责表</w:t>
      </w:r>
      <w:r>
        <w:tab/>
      </w:r>
      <w:r>
        <w:fldChar w:fldCharType="begin"/>
      </w:r>
      <w:r>
        <w:instrText xml:space="preserve"> PAGEREF _Toc10066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_Toc6647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演练场景表</w:t>
      </w:r>
      <w:r>
        <w:tab/>
      </w:r>
      <w:r>
        <w:fldChar w:fldCharType="begin"/>
      </w:r>
      <w:r>
        <w:instrText xml:space="preserve"> PAGEREF _Toc6647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_Toc25393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演练评估项目表</w:t>
      </w:r>
      <w:r>
        <w:tab/>
      </w:r>
      <w:r>
        <w:fldChar w:fldCharType="begin"/>
      </w:r>
      <w:r>
        <w:instrText xml:space="preserve"> PAGEREF _Toc25393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_Toc5474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演练相关材料表</w:t>
      </w:r>
      <w:r>
        <w:tab/>
      </w:r>
      <w:r>
        <w:fldChar w:fldCharType="begin"/>
      </w:r>
      <w:r>
        <w:instrText xml:space="preserve"> PAGEREF _Toc5474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bidi w:val="0"/>
      </w:pPr>
      <w:bookmarkStart w:id="1" w:name="heading_2"/>
      <w:bookmarkStart w:id="2" w:name="_Toc1151"/>
      <w:r>
        <w:t>演练目的</w:t>
      </w:r>
      <w:bookmarkEnd w:id="1"/>
      <w:bookmarkEnd w:id="2"/>
    </w:p>
    <w:p>
      <w:pPr>
        <w:pStyle w:val="a2"/>
        <w:bidi w:val="0"/>
        <w:rPr>
          <w:rFonts w:hint="eastAsia"/>
        </w:rPr>
      </w:pPr>
      <w:r>
        <w:rPr>
          <w:rFonts w:hint="eastAsia"/>
        </w:rPr>
        <w:t>本次应急演练旨在达成以下目标：</w:t>
      </w:r>
    </w:p>
    <w:p>
      <w:pPr>
        <w:pStyle w:val="a2"/>
        <w:numPr>
          <w:ilvl w:val="0"/>
          <w:numId w:val="2"/>
        </w:numPr>
        <w:bidi w:val="0"/>
        <w:ind w:left="425" w:hanging="425" w:leftChars="0" w:firstLineChars="0"/>
        <w:rPr>
          <w:rFonts w:hint="eastAsia"/>
        </w:rPr>
      </w:pPr>
      <w:r>
        <w:rPr>
          <w:rFonts w:hint="eastAsia"/>
        </w:rPr>
        <w:t>验证《2026年国电电力湖南新能源系统运维项目》应急预案的有效性和可操作性</w:t>
      </w:r>
    </w:p>
    <w:p>
      <w:pPr>
        <w:pStyle w:val="a2"/>
        <w:numPr>
          <w:ilvl w:val="0"/>
          <w:numId w:val="2"/>
        </w:numPr>
        <w:bidi w:val="0"/>
        <w:ind w:left="425" w:hanging="425" w:leftChars="0" w:firstLineChars="0"/>
        <w:rPr>
          <w:rFonts w:hint="eastAsia"/>
        </w:rPr>
      </w:pPr>
      <w:r>
        <w:rPr>
          <w:rFonts w:hint="eastAsia"/>
        </w:rPr>
        <w:t>检验应急响应团队的响应速度和处置能力</w:t>
      </w:r>
    </w:p>
    <w:p>
      <w:pPr>
        <w:pStyle w:val="a2"/>
        <w:numPr>
          <w:ilvl w:val="0"/>
          <w:numId w:val="2"/>
        </w:numPr>
        <w:bidi w:val="0"/>
        <w:ind w:left="425" w:hanging="425" w:leftChars="0" w:firstLineChars="0"/>
        <w:rPr>
          <w:rFonts w:hint="eastAsia"/>
        </w:rPr>
      </w:pPr>
      <w:r>
        <w:rPr>
          <w:rFonts w:hint="eastAsia"/>
        </w:rPr>
        <w:t>发现应急预案中存在的不足，提出改进措施</w:t>
      </w:r>
    </w:p>
    <w:p>
      <w:pPr>
        <w:pStyle w:val="a2"/>
        <w:numPr>
          <w:ilvl w:val="0"/>
          <w:numId w:val="2"/>
        </w:numPr>
        <w:bidi w:val="0"/>
        <w:ind w:left="425" w:hanging="425" w:leftChars="0" w:firstLineChars="0"/>
      </w:pPr>
      <w:r>
        <w:rPr>
          <w:rFonts w:hint="eastAsia"/>
        </w:rPr>
        <w:t>提升项目整体应急保障水平</w:t>
      </w:r>
    </w:p>
    <w:p>
      <w:pPr>
        <w:pStyle w:val="1"/>
        <w:bidi w:val="0"/>
      </w:pPr>
      <w:bookmarkStart w:id="3" w:name="_Toc22516"/>
      <w:bookmarkStart w:id="4" w:name="heading_3"/>
      <w:r>
        <w:t>演练范围</w:t>
      </w:r>
      <w:bookmarkEnd w:id="3"/>
      <w:bookmarkEnd w:id="4"/>
    </w:p>
    <w:p>
      <w:pPr>
        <w:pStyle w:val="a2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" w:name="_Toc21066"/>
      <w:bookmarkStart w:id="6" w:name="_Toc26131"/>
      <w:r>
        <w:rPr>
          <w:rFonts w:hint="eastAsia"/>
          <w:lang w:val="en-US" w:eastAsia="zh-CN"/>
        </w:rPr>
        <w:t xml:space="preserve"> </w:t>
      </w:r>
      <w:bookmarkEnd w:id="5"/>
      <w:r>
        <w:rPr>
          <w:rFonts w:hint="eastAsia"/>
          <w:lang w:val="en-US" w:eastAsia="zh-CN"/>
        </w:rPr>
        <w:t>演练基本信息表</w:t>
      </w:r>
      <w:bookmarkEnd w:id="6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975"/>
        <w:gridCol w:w="6547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97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项目</w:t>
            </w:r>
          </w:p>
        </w:tc>
        <w:tc>
          <w:tcPr>
            <w:tcW w:w="654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内容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97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</w:pPr>
            <w:r>
              <w:t>演练项目</w:t>
            </w:r>
          </w:p>
        </w:tc>
        <w:tc>
          <w:tcPr>
            <w:tcW w:w="654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2026年国电电力湖南新能源系统运维项目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97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</w:pPr>
            <w:r>
              <w:t>演练类型</w:t>
            </w:r>
          </w:p>
        </w:tc>
        <w:tc>
          <w:tcPr>
            <w:tcW w:w="654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实战演练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97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</w:pPr>
            <w:r>
              <w:t>演练时间</w:t>
            </w:r>
          </w:p>
        </w:tc>
        <w:tc>
          <w:tcPr>
            <w:tcW w:w="654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2026年（具体时间待定）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97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</w:pPr>
            <w:r>
              <w:t>演练地点</w:t>
            </w:r>
          </w:p>
        </w:tc>
        <w:tc>
          <w:tcPr>
            <w:tcW w:w="654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客户现场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97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</w:pPr>
            <w:r>
              <w:t>参与人员</w:t>
            </w:r>
          </w:p>
        </w:tc>
        <w:tc>
          <w:tcPr>
            <w:tcW w:w="65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应急响应团队、项目运维人员</w:t>
            </w:r>
          </w:p>
        </w:tc>
      </w:tr>
    </w:tbl>
    <w:p>
      <w:pPr>
        <w:pBdr>
          <w:bottom w:val="single" w:sz="2" w:space="0" w:color="DEE0E3"/>
          <w:between w:val="single" w:sz="2" w:space="0" w:color="DEE0E3"/>
        </w:pBdr>
        <w:spacing w:before="120" w:after="120" w:line="288" w:lineRule="auto"/>
        <w:ind w:left="0"/>
      </w:pPr>
    </w:p>
    <w:p>
      <w:pPr>
        <w:pStyle w:val="1"/>
        <w:bidi w:val="0"/>
      </w:pPr>
      <w:bookmarkStart w:id="7" w:name="heading_4"/>
      <w:bookmarkStart w:id="8" w:name="_Toc23267"/>
      <w:r>
        <w:t>演练组织</w:t>
      </w:r>
      <w:bookmarkEnd w:id="7"/>
      <w:bookmarkEnd w:id="8"/>
    </w:p>
    <w:p>
      <w:pPr>
        <w:pStyle w:val="a2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9" w:name="_Toc10066"/>
      <w:r>
        <w:rPr>
          <w:rFonts w:hint="eastAsia"/>
          <w:lang w:val="en-US" w:eastAsia="zh-CN"/>
        </w:rPr>
        <w:t xml:space="preserve"> 演练岗位职责表</w:t>
      </w:r>
      <w:bookmarkEnd w:id="9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705"/>
        <w:gridCol w:w="3890"/>
        <w:gridCol w:w="2927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70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角色</w:t>
            </w:r>
          </w:p>
        </w:tc>
        <w:tc>
          <w:tcPr>
            <w:tcW w:w="389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岗位</w:t>
            </w:r>
          </w:p>
        </w:tc>
        <w:tc>
          <w:tcPr>
            <w:tcW w:w="292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职责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0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演练总指挥</w:t>
            </w:r>
          </w:p>
        </w:tc>
        <w:tc>
          <w:tcPr>
            <w:tcW w:w="3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运维部经理</w:t>
            </w:r>
          </w:p>
        </w:tc>
        <w:tc>
          <w:tcPr>
            <w:tcW w:w="292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负责演练整体指挥和决策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0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演练执行组长</w:t>
            </w:r>
          </w:p>
        </w:tc>
        <w:tc>
          <w:tcPr>
            <w:tcW w:w="3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运维项目经理</w:t>
            </w:r>
          </w:p>
        </w:tc>
        <w:tc>
          <w:tcPr>
            <w:tcW w:w="292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负责演练具体组织和协调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0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技术处置组</w:t>
            </w:r>
          </w:p>
        </w:tc>
        <w:tc>
          <w:tcPr>
            <w:tcW w:w="3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软件运维工程师、硬件运维工程师</w:t>
            </w:r>
          </w:p>
        </w:tc>
        <w:tc>
          <w:tcPr>
            <w:tcW w:w="292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负责技术问题排查和恢复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0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后勤保障组</w:t>
            </w:r>
          </w:p>
        </w:tc>
        <w:tc>
          <w:tcPr>
            <w:tcW w:w="3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备件库专员</w:t>
            </w:r>
          </w:p>
        </w:tc>
        <w:tc>
          <w:tcPr>
            <w:tcW w:w="292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负责备件调配和资源保障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0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评估观察组</w:t>
            </w:r>
          </w:p>
        </w:tc>
        <w:tc>
          <w:tcPr>
            <w:tcW w:w="389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质量部专员</w:t>
            </w:r>
          </w:p>
        </w:tc>
        <w:tc>
          <w:tcPr>
            <w:tcW w:w="292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负责演练过程记录和评估</w:t>
            </w:r>
          </w:p>
        </w:tc>
      </w:tr>
    </w:tbl>
    <w:p>
      <w:pPr>
        <w:pBdr>
          <w:bottom w:val="single" w:sz="2" w:space="0" w:color="DEE0E3"/>
          <w:between w:val="single" w:sz="2" w:space="0" w:color="DEE0E3"/>
        </w:pBdr>
        <w:spacing w:before="120" w:after="120" w:line="288" w:lineRule="auto"/>
        <w:ind w:left="0"/>
      </w:pPr>
    </w:p>
    <w:p>
      <w:pPr>
        <w:pStyle w:val="1"/>
        <w:bidi w:val="0"/>
      </w:pPr>
      <w:bookmarkStart w:id="10" w:name="heading_5"/>
      <w:bookmarkStart w:id="11" w:name="_Toc13343"/>
      <w:r>
        <w:t>演练场景</w:t>
      </w:r>
      <w:bookmarkEnd w:id="10"/>
      <w:bookmarkEnd w:id="11"/>
    </w:p>
    <w:p>
      <w:r>
        <w:br w:type="page"/>
      </w:r>
    </w:p>
    <w:p>
      <w:pPr>
        <w:pStyle w:val="a2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2" w:name="_Toc6647"/>
      <w:r>
        <w:rPr>
          <w:rFonts w:hint="eastAsia"/>
          <w:lang w:val="en-US" w:eastAsia="zh-CN"/>
        </w:rPr>
        <w:t xml:space="preserve"> 演练场景表</w:t>
      </w:r>
      <w:bookmarkEnd w:id="12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4"/>
        <w:gridCol w:w="1920"/>
        <w:gridCol w:w="1290"/>
        <w:gridCol w:w="4641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场景名称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演练类型</w:t>
            </w:r>
          </w:p>
        </w:tc>
        <w:tc>
          <w:tcPr>
            <w:tcW w:w="464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演练目标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服务器硬件故障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实战演练</w:t>
            </w:r>
          </w:p>
        </w:tc>
        <w:tc>
          <w:tcPr>
            <w:tcW w:w="46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验证服务器故障应急响应，测试备用服务器切换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数据库损坏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桌面推演</w:t>
            </w:r>
          </w:p>
        </w:tc>
        <w:tc>
          <w:tcPr>
            <w:tcW w:w="46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验证数据库恢复能力，测试备份恢复流程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网络中断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桌面推演</w:t>
            </w:r>
          </w:p>
        </w:tc>
        <w:tc>
          <w:tcPr>
            <w:tcW w:w="46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验证网络故障应急响应，测试备用线路切换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4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现场设备故障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实战演练</w:t>
            </w:r>
          </w:p>
        </w:tc>
        <w:tc>
          <w:tcPr>
            <w:tcW w:w="464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验证现场设备故障应急响应，测试备件更换流程</w:t>
            </w:r>
          </w:p>
        </w:tc>
      </w:tr>
    </w:tbl>
    <w:p>
      <w:pPr>
        <w:pBdr>
          <w:bottom w:val="single" w:sz="2" w:space="0" w:color="DEE0E3"/>
          <w:between w:val="single" w:sz="2" w:space="0" w:color="DEE0E3"/>
        </w:pBdr>
        <w:spacing w:before="120" w:after="120" w:line="288" w:lineRule="auto"/>
        <w:ind w:left="0"/>
      </w:pPr>
    </w:p>
    <w:p>
      <w:pPr>
        <w:pStyle w:val="1"/>
        <w:bidi w:val="0"/>
      </w:pPr>
      <w:bookmarkStart w:id="13" w:name="heading_11"/>
      <w:bookmarkStart w:id="14" w:name="_Toc13447"/>
      <w:r>
        <w:t>演练评估</w:t>
      </w:r>
      <w:bookmarkEnd w:id="13"/>
      <w:bookmarkEnd w:id="14"/>
    </w:p>
    <w:p>
      <w:pPr>
        <w:pStyle w:val="a2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5" w:name="_Toc25393"/>
      <w:r>
        <w:rPr>
          <w:rFonts w:hint="eastAsia"/>
          <w:lang w:val="en-US" w:eastAsia="zh-CN"/>
        </w:rPr>
        <w:t xml:space="preserve"> 演练评估项目表</w:t>
      </w:r>
      <w:bookmarkEnd w:id="15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992"/>
        <w:gridCol w:w="4158"/>
        <w:gridCol w:w="1372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992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评估项</w:t>
            </w:r>
          </w:p>
        </w:tc>
        <w:tc>
          <w:tcPr>
            <w:tcW w:w="415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评估标准</w:t>
            </w:r>
          </w:p>
        </w:tc>
        <w:tc>
          <w:tcPr>
            <w:tcW w:w="137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分值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99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响应及时性</w:t>
            </w:r>
          </w:p>
        </w:tc>
        <w:tc>
          <w:tcPr>
            <w:tcW w:w="41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是否在规定时间内响应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20分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99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处置规范性</w:t>
            </w:r>
          </w:p>
        </w:tc>
        <w:tc>
          <w:tcPr>
            <w:tcW w:w="41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是否按应急预案执行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20分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99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技术操作准确性</w:t>
            </w:r>
          </w:p>
        </w:tc>
        <w:tc>
          <w:tcPr>
            <w:tcW w:w="41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技术操作是否正确有效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20分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99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团队协作</w:t>
            </w:r>
          </w:p>
        </w:tc>
        <w:tc>
          <w:tcPr>
            <w:tcW w:w="41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团队配合是否顺畅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15分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99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信息通报</w:t>
            </w:r>
          </w:p>
        </w:tc>
        <w:tc>
          <w:tcPr>
            <w:tcW w:w="41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信息报告是否及时准确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15分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99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恢复时效</w:t>
            </w:r>
          </w:p>
        </w:tc>
        <w:tc>
          <w:tcPr>
            <w:tcW w:w="41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是否在RTO内完成恢复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10分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99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总分</w:t>
            </w:r>
          </w:p>
        </w:tc>
        <w:tc>
          <w:tcPr>
            <w:tcW w:w="415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b/>
              </w:rPr>
            </w:pP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100分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Style w:val="Char"/>
        </w:rPr>
        <w:t>评估等级：≥90分为优秀，75-89分为良好，60-74分为合格，&lt;60分为不合格</w:t>
      </w:r>
    </w:p>
    <w:p>
      <w:pPr>
        <w:pBdr>
          <w:bottom w:val="single" w:sz="2" w:space="0" w:color="DEE0E3"/>
          <w:between w:val="single" w:sz="2" w:space="0" w:color="DEE0E3"/>
        </w:pBdr>
        <w:spacing w:before="120" w:after="120" w:line="288" w:lineRule="auto"/>
        <w:ind w:left="0"/>
      </w:pPr>
    </w:p>
    <w:p>
      <w:pPr>
        <w:pStyle w:val="1"/>
        <w:bidi w:val="0"/>
        <w:rPr>
          <w:rFonts w:hint="default"/>
          <w:lang w:val="en-US" w:eastAsia="zh-CN"/>
        </w:rPr>
      </w:pPr>
      <w:bookmarkStart w:id="16" w:name="_Toc14443"/>
      <w:r>
        <w:rPr>
          <w:rFonts w:hint="eastAsia"/>
          <w:lang w:val="en-US" w:eastAsia="zh-CN"/>
        </w:rPr>
        <w:t>相关文件</w:t>
      </w:r>
      <w:bookmarkEnd w:id="16"/>
    </w:p>
    <w:p>
      <w:pPr>
        <w:pStyle w:val="a2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7" w:name="_Toc5474"/>
      <w:r>
        <w:rPr>
          <w:rFonts w:hint="eastAsia"/>
          <w:lang w:val="en-US" w:eastAsia="zh-CN"/>
        </w:rPr>
        <w:t xml:space="preserve"> 演练相关材料表</w:t>
      </w:r>
      <w:bookmarkEnd w:id="17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5"/>
        <w:gridCol w:w="2097"/>
        <w:gridCol w:w="4733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文件名称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文件编号</w:t>
            </w:r>
          </w:p>
        </w:tc>
        <w:tc>
          <w:tcPr>
            <w:tcW w:w="473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说明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应急演练预案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SFKJ-ITSS-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1003</w:t>
            </w:r>
          </w:p>
        </w:tc>
        <w:tc>
          <w:tcPr>
            <w:tcW w:w="473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依据本大纲制定，细化演练流程和操作步骤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应急演练计划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SFKJ-ITSS-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1004</w:t>
            </w:r>
          </w:p>
        </w:tc>
        <w:tc>
          <w:tcPr>
            <w:tcW w:w="473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明确具体时间、地点、人员、物资安排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6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应急演练报告</w:t>
            </w: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SFKJ-ITSS-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1005</w:t>
            </w:r>
            <w:bookmarkStart w:id="18" w:name="_GoBack"/>
            <w:bookmarkEnd w:id="18"/>
          </w:p>
        </w:tc>
        <w:tc>
          <w:tcPr>
            <w:tcW w:w="473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演练后总结评估，记录问题和改进</w:t>
            </w:r>
          </w:p>
        </w:tc>
      </w:tr>
    </w:tbl>
    <w:p>
      <w:pPr>
        <w:pStyle w:val="a2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25213122"/>
    <w:multiLevelType w:val="singleLevel"/>
    <w:tmpl w:val="2521312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basedOn w:val="Normal"/>
    <w:qFormat/>
    <w:rPr>
      <w:rFonts w:ascii="Courier New" w:hAnsi="Courier New"/>
      <w:sz w:val="20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文档修订信息"/>
    <w:basedOn w:val="Normal"/>
    <w:qFormat/>
    <w:pPr>
      <w:widowControl w:val="0"/>
      <w:ind w:firstLine="470" w:firstLineChars="200"/>
      <w:jc w:val="center"/>
    </w:pPr>
    <w:rPr>
      <w:rFonts w:ascii="Arial" w:hAnsi="Arial" w:hint="eastAsia"/>
      <w:b/>
      <w:bCs/>
      <w:sz w:val="24"/>
      <w:lang w:eastAsia="zh-CN"/>
    </w:rPr>
  </w:style>
  <w:style w:type="paragraph" w:customStyle="1" w:styleId="a0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1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2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2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2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2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3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4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2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4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5"/>
    <w:qFormat/>
  </w:style>
  <w:style w:type="paragraph" w:customStyle="1" w:styleId="a5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879</Words>
  <Characters>1019</Characters>
  <Application>Microsoft Office Word</Application>
  <DocSecurity>0</DocSecurity>
  <Lines>0</Lines>
  <Paragraphs>0</Paragraphs>
  <ScaleCrop>false</ScaleCrop>
  <Company/>
  <LinksUpToDate>false</LinksUpToDate>
  <CharactersWithSpaces>1073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2026-04-06T04:28:05Z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