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运维服务沟通管理制度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SFKJ-ITSS-0406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5629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_Toc20165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_Toc20165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_Toc30863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_Toc13632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_Toc18109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_Toc11176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研发部</w:t>
          </w:r>
          <w:r>
            <w:tab/>
          </w:r>
          <w:r>
            <w:fldChar w:fldCharType="begin"/>
          </w:r>
          <w:r>
            <w:instrText xml:space="preserve"> PAGEREF _Toc1838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服务台</w:t>
          </w:r>
          <w:r>
            <w:tab/>
          </w:r>
          <w:r>
            <w:fldChar w:fldCharType="begin"/>
          </w:r>
          <w:r>
            <w:instrText xml:space="preserve"> PAGEREF _Toc5371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沟通方式</w:t>
          </w:r>
          <w:r>
            <w:tab/>
          </w:r>
          <w:r>
            <w:fldChar w:fldCharType="begin"/>
          </w:r>
          <w:r>
            <w:instrText xml:space="preserve"> PAGEREF _Toc3305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_Toc31181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沟通对象</w:t>
          </w:r>
          <w:r>
            <w:tab/>
          </w:r>
          <w:r>
            <w:fldChar w:fldCharType="begin"/>
          </w:r>
          <w:r>
            <w:instrText xml:space="preserve"> PAGEREF _Toc31181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沟通时机</w:t>
          </w:r>
          <w:r>
            <w:tab/>
          </w:r>
          <w:r>
            <w:fldChar w:fldCharType="begin"/>
          </w:r>
          <w:r>
            <w:instrText xml:space="preserve"> PAGEREF _Toc19210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沟通要求</w:t>
          </w:r>
          <w:r>
            <w:tab/>
          </w:r>
          <w:r>
            <w:fldChar w:fldCharType="begin"/>
          </w:r>
          <w:r>
            <w:instrText xml:space="preserve"> PAGEREF _Toc3527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沟通计划</w:t>
          </w:r>
          <w:r>
            <w:tab/>
          </w:r>
          <w:r>
            <w:fldChar w:fldCharType="begin"/>
          </w:r>
          <w:r>
            <w:instrText xml:space="preserve"> PAGEREF _Toc26535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沟通记录</w:t>
          </w:r>
          <w:r>
            <w:tab/>
          </w:r>
          <w:r>
            <w:fldChar w:fldCharType="begin"/>
          </w:r>
          <w:r>
            <w:instrText xml:space="preserve"> PAGEREF _Toc25455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投诉与建议处理</w:t>
          </w:r>
          <w:r>
            <w:tab/>
          </w:r>
          <w:r>
            <w:fldChar w:fldCharType="begin"/>
          </w:r>
          <w:r>
            <w:instrText xml:space="preserve"> PAGEREF _Toc17617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沟通质量要求</w:t>
          </w:r>
          <w:r>
            <w:tab/>
          </w:r>
          <w:r>
            <w:fldChar w:fldCharType="begin"/>
          </w:r>
          <w:r>
            <w:instrText xml:space="preserve"> PAGEREF _Toc4015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7.5. 沟通改进</w:t>
          </w:r>
          <w:r>
            <w:tab/>
          </w:r>
          <w:r>
            <w:fldChar w:fldCharType="begin"/>
          </w:r>
          <w:r>
            <w:instrText xml:space="preserve"> PAGEREF _Toc23163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输出的文件和记录</w:t>
          </w:r>
          <w:r>
            <w:tab/>
          </w:r>
          <w:r>
            <w:fldChar w:fldCharType="begin"/>
          </w:r>
          <w:r>
            <w:instrText xml:space="preserve"> PAGEREF _Toc20116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_Toc4350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沟通方式表</w:t>
      </w:r>
      <w:r>
        <w:tab/>
      </w:r>
      <w:r>
        <w:fldChar w:fldCharType="begin"/>
      </w:r>
      <w:r>
        <w:instrText xml:space="preserve"> PAGEREF _Toc4350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_Toc4957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沟通对象表</w:t>
      </w:r>
      <w:r>
        <w:tab/>
      </w:r>
      <w:r>
        <w:fldChar w:fldCharType="begin"/>
      </w:r>
      <w:r>
        <w:instrText xml:space="preserve"> PAGEREF _Toc4957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_Toc3316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沟通时机表</w:t>
      </w:r>
      <w:r>
        <w:tab/>
      </w:r>
      <w:r>
        <w:fldChar w:fldCharType="begin"/>
      </w:r>
      <w:r>
        <w:instrText xml:space="preserve"> PAGEREF _Toc3316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_Toc11188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_Toc11188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0165"/>
      <w:bookmarkStart w:id="2" w:name="_Toc8521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本制度旨在保证‌数飞科技(宁波)有限公司（以下简称“公司”）与客户及时、有效的沟通，准确识别和理解客户需求，及时传递服务信息，处理客户反馈，从而持续改进公司服务质量，提高客户满意度。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4662"/>
      <w:bookmarkStart w:id="4" w:name="_Toc30863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本制度适用于公司运维服务全过程中与客户的沟通管理，覆盖所有运维服务客户及相关服务环节。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12401"/>
      <w:bookmarkStart w:id="6" w:name="_Toc13632"/>
      <w:r>
        <w:rPr>
          <w:rFonts w:hint="default"/>
          <w:lang w:val="en-US" w:eastAsia="zh-CN"/>
        </w:rPr>
        <w:t>角色与职责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9530"/>
      <w:bookmarkStart w:id="8" w:name="_Toc306"/>
      <w:r>
        <w:rPr>
          <w:rFonts w:hint="default"/>
          <w:lang w:val="en-US" w:eastAsia="zh-CN"/>
        </w:rPr>
        <w:t>管理层</w:t>
      </w:r>
      <w:bookmarkEnd w:id="7"/>
      <w:bookmarkEnd w:id="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负责定期与重要客户的高层进行信息交流和决策层沟通。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参与重大合同、重要事项的客户沟通。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处理重大客户投诉和突发事件的高层协调。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8109"/>
      <w:bookmarkStart w:id="10" w:name="_Toc12529"/>
      <w:r>
        <w:rPr>
          <w:rFonts w:hint="default"/>
          <w:lang w:val="en-US" w:eastAsia="zh-CN"/>
        </w:rPr>
        <w:t>质量部</w:t>
      </w:r>
      <w:bookmarkEnd w:id="9"/>
      <w:bookmarkEnd w:id="10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负责组织级客户沟通的计划制定和执行监督。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负责《年度沟通计划》的编制和发布。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负责客户满意度调查结果的沟通反馈。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负责沟通记录的归档管理。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9409"/>
      <w:bookmarkStart w:id="12" w:name="_Toc11176"/>
      <w:r>
        <w:rPr>
          <w:rFonts w:hint="default"/>
          <w:lang w:val="en-US" w:eastAsia="zh-CN"/>
        </w:rPr>
        <w:t>运维部</w:t>
      </w:r>
      <w:bookmarkEnd w:id="11"/>
      <w:bookmarkEnd w:id="12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负责签订合同（SLA）前与客户的技术沟通和需求确认。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负责合同到期续签时与客户的沟通协调。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负责服务请求、故障处理、客户投诉发生后的及时沟通。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负责运维项目关键节点和结项后的客户沟通。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负责运维过程中SLA执行情况、事件处理情况、服务报告提交等日常沟通。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负责运维过程中应急保障时的客户沟通。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负责定期向客户提交服务报告并进行解读沟通。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838"/>
      <w:bookmarkStart w:id="14" w:name="_Toc17634"/>
      <w:r>
        <w:rPr>
          <w:rFonts w:hint="default"/>
          <w:lang w:val="en-US" w:eastAsia="zh-CN"/>
        </w:rPr>
        <w:t>研发部</w:t>
      </w:r>
      <w:bookmarkEnd w:id="13"/>
      <w:bookmarkEnd w:id="14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负责涉及技术方案、技术难题的客户沟通。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负责新技术应用、系统升级等事项的技术解释沟通。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配合运维部进行重大技术问题的客户沟通。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8801"/>
      <w:bookmarkStart w:id="16" w:name="_Toc5371"/>
      <w:r>
        <w:rPr>
          <w:rFonts w:hint="default"/>
          <w:lang w:val="en-US" w:eastAsia="zh-CN"/>
        </w:rPr>
        <w:t>服务台</w:t>
      </w:r>
      <w:bookmarkEnd w:id="15"/>
      <w:bookmarkEnd w:id="16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负责记录客户的意见、投诉及建议，并准确记录、分类后反馈给相关部门处理。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负责将处理结果及时反馈给客户。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负责事件解决后的电话回访和满意度调查沟通。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负责投诉处理完成后的回访沟通。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作为日常服务请求的统一沟通接口。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3305"/>
      <w:bookmarkStart w:id="18" w:name="_Toc3473"/>
      <w:r>
        <w:rPr>
          <w:rFonts w:hint="default"/>
          <w:lang w:val="en-US" w:eastAsia="zh-CN"/>
        </w:rPr>
        <w:t>沟通方式</w:t>
      </w:r>
      <w:bookmarkEnd w:id="17"/>
      <w:bookmarkEnd w:id="1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根据沟通内容、紧急程度和客户偏好，采用以下一种或多种沟通方式</w:t>
      </w:r>
      <w:r>
        <w:rPr>
          <w:rFonts w:hint="eastAsia"/>
          <w:lang w:val="en-US" w:eastAsia="zh-CN"/>
        </w:rPr>
        <w:t>。沟通方式如表4-1所示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4350"/>
      <w:r>
        <w:rPr>
          <w:rFonts w:hint="eastAsia"/>
          <w:lang w:val="en-US" w:eastAsia="zh-CN"/>
        </w:rPr>
        <w:t xml:space="preserve"> 沟通方式表</w:t>
      </w:r>
      <w:bookmarkEnd w:id="1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4952"/>
        <w:gridCol w:w="242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沟通方式</w:t>
            </w:r>
          </w:p>
        </w:tc>
        <w:tc>
          <w:tcPr>
            <w:tcW w:w="495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适用场景</w:t>
            </w:r>
          </w:p>
        </w:tc>
        <w:tc>
          <w:tcPr>
            <w:tcW w:w="24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会议沟通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项目启动、阶段汇报、年度总结、重大事项讨论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管理层、运维部、质量部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邮件沟通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服务报告发送、正式通知、文件传递、会议纪要确认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日常事务协调、紧急事件通报、简单问题确认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即时通讯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日常沟通、快速反馈、简单咨询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定期拜访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重要客户关系维护、满意度调研、需求收集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书面报告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定期服务报告、事件报告、总结报告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现场沟通</w:t>
            </w:r>
          </w:p>
        </w:tc>
        <w:tc>
          <w:tcPr>
            <w:tcW w:w="49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故障处理、现场服务、技术交流</w:t>
            </w:r>
          </w:p>
        </w:tc>
        <w:tc>
          <w:tcPr>
            <w:tcW w:w="24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运维部、研发部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0" w:name="_Toc31181"/>
      <w:bookmarkStart w:id="21" w:name="_Toc19139"/>
      <w:r>
        <w:rPr>
          <w:rFonts w:hint="default"/>
          <w:lang w:val="en-US" w:eastAsia="zh-CN"/>
        </w:rPr>
        <w:t>沟通对象</w:t>
      </w:r>
      <w:bookmarkEnd w:id="20"/>
      <w:bookmarkEnd w:id="21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根据沟通内容和层级，明确沟通对象及对应责任人</w:t>
      </w:r>
      <w:r>
        <w:rPr>
          <w:rFonts w:hint="eastAsia"/>
          <w:lang w:val="en-US" w:eastAsia="zh-CN"/>
        </w:rPr>
        <w:t>，具体对应关系如表5-1所示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2" w:name="_Toc4957"/>
      <w:r>
        <w:rPr>
          <w:rFonts w:hint="eastAsia"/>
          <w:lang w:val="en-US" w:eastAsia="zh-CN"/>
        </w:rPr>
        <w:t xml:space="preserve"> 沟通对象表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7"/>
        <w:gridCol w:w="5071"/>
        <w:gridCol w:w="191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5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沟通对象</w:t>
            </w:r>
          </w:p>
        </w:tc>
        <w:tc>
          <w:tcPr>
            <w:tcW w:w="507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沟通内容</w:t>
            </w:r>
          </w:p>
        </w:tc>
        <w:tc>
          <w:tcPr>
            <w:tcW w:w="191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客户方高层/分管领导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战略合作、重大事项决策、年度总结、重大投诉处理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客户方项目管理人员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合同执行、SLA达成情况、项目进度、服务报告解读、变更沟通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运维部经理、项目经理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客户方技术负责人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技术方案、技术难题、系统升级、运维工具对接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客户方使用人员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日常操作咨询、故障申报、服务请求、使用反馈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服务台、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硬件运维工程师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客户方采购/商务人员</w:t>
            </w:r>
          </w:p>
        </w:tc>
        <w:tc>
          <w:tcPr>
            <w:tcW w:w="507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合同续签、商务条款、费用结算</w:t>
            </w: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运维部、管理层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3" w:name="_Toc19210"/>
      <w:bookmarkStart w:id="24" w:name="_Toc14711"/>
      <w:r>
        <w:rPr>
          <w:rFonts w:hint="default"/>
          <w:lang w:val="en-US" w:eastAsia="zh-CN"/>
        </w:rPr>
        <w:t>沟通时机</w:t>
      </w:r>
      <w:bookmarkEnd w:id="23"/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3316"/>
      <w:r>
        <w:rPr>
          <w:rFonts w:hint="eastAsia"/>
          <w:lang w:val="en-US" w:eastAsia="zh-CN"/>
        </w:rPr>
        <w:t xml:space="preserve"> 沟通时机表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5334"/>
        <w:gridCol w:w="20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沟通时机</w:t>
            </w:r>
          </w:p>
        </w:tc>
        <w:tc>
          <w:tcPr>
            <w:tcW w:w="53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沟通内容</w:t>
            </w:r>
          </w:p>
        </w:tc>
        <w:tc>
          <w:tcPr>
            <w:tcW w:w="20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合同阶段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合同签署前需求确认、合同变更沟通、合同到期续签沟通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运维部、管理层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定期沟通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每季度服务报告沟通、半年度回顾、每年度总结沟通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事件驱动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重大故障处理过程通报、故障解决后反馈、投诉处理沟通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运维部、服务台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服务请求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服务请求受理确认、处理进展通报、完成反馈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项目节点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项目启动、关键节点汇报、项目验收沟通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应急保障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应急预案启动通报、应急处置进展、恢复后确认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例行回访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事件解决后回访、投诉处理后回访、定期满意度回访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高层沟通</w:t>
            </w:r>
          </w:p>
        </w:tc>
        <w:tc>
          <w:tcPr>
            <w:tcW w:w="53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每年度至少一次正式高层沟通，重大事项随时沟通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6" w:name="_Toc3527"/>
      <w:bookmarkStart w:id="27" w:name="_Toc4142"/>
      <w:r>
        <w:rPr>
          <w:rFonts w:hint="default"/>
          <w:lang w:val="en-US" w:eastAsia="zh-CN"/>
        </w:rPr>
        <w:t>沟通要求</w:t>
      </w:r>
      <w:bookmarkEnd w:id="26"/>
      <w:bookmarkEnd w:id="27"/>
    </w:p>
    <w:p>
      <w:pPr>
        <w:pStyle w:val="2"/>
        <w:bidi w:val="0"/>
        <w:rPr>
          <w:rFonts w:hint="default"/>
          <w:lang w:val="en-US" w:eastAsia="zh-CN"/>
        </w:rPr>
      </w:pPr>
      <w:bookmarkStart w:id="28" w:name="_Toc26535"/>
      <w:bookmarkStart w:id="29" w:name="_Toc8834"/>
      <w:r>
        <w:rPr>
          <w:rFonts w:hint="default"/>
          <w:lang w:val="en-US" w:eastAsia="zh-CN"/>
        </w:rPr>
        <w:t>沟通计划</w:t>
      </w:r>
      <w:bookmarkEnd w:id="28"/>
      <w:bookmarkEnd w:id="2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质量部应于每年</w:t>
      </w:r>
      <w:r>
        <w:rPr>
          <w:rFonts w:hint="eastAsia"/>
          <w:lang w:val="en-US" w:eastAsia="zh-CN"/>
        </w:rPr>
        <w:t>年初</w:t>
      </w:r>
      <w:r>
        <w:rPr>
          <w:rFonts w:hint="default"/>
          <w:lang w:val="en-US" w:eastAsia="zh-CN"/>
        </w:rPr>
        <w:t>制定《年度沟通计划》，明确本年度客户沟通安排，包括：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定期沟通的时间安排（季度沟通、半年度回顾、年度总结）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重要客户的高层拜访计划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满意度调查及回访计划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服务报告提交计划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客户培训或交流活动计划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《年度沟通计划》经管理层审批后执行，并根据实际情况适时调整。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25455"/>
      <w:bookmarkStart w:id="31" w:name="_Toc27472"/>
      <w:r>
        <w:rPr>
          <w:rFonts w:hint="default"/>
          <w:lang w:val="en-US" w:eastAsia="zh-CN"/>
        </w:rPr>
        <w:t>沟通记录</w:t>
      </w:r>
      <w:bookmarkEnd w:id="30"/>
      <w:bookmarkEnd w:id="3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每次重要沟通（会议、拜访、正式汇报）应形成《沟通记录》，内容包括：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沟通时间、地点、参与人员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沟通主题和内容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客户提出的意见、建议或需求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达成的共识和结论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后续行动计划及责任人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下次沟通安排（如有）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《沟通记录》应在沟通结束后3个工作日内完成，经客户确认（如需）后归档。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2" w:name="_Toc17617"/>
      <w:bookmarkStart w:id="33" w:name="_Toc2038"/>
      <w:r>
        <w:rPr>
          <w:rFonts w:hint="default"/>
          <w:lang w:val="en-US" w:eastAsia="zh-CN"/>
        </w:rPr>
        <w:t>投诉与建议处理</w:t>
      </w:r>
      <w:bookmarkEnd w:id="32"/>
      <w:bookmarkEnd w:id="3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服务台接到客户投诉或建议后，应在1小时内响应，记录并转交相关部门处理。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责任部门应在24小时内提出处理方案，并反馈给服务台。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服务台在投诉处理完成后3个工作日内进行回访，确认客户满意度和改进效果。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投诉及建议的处理过程和结果应记录在《客户投诉处理记录表》中，并作为改进输入。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4" w:name="_Toc4015"/>
      <w:bookmarkStart w:id="35" w:name="_Toc10629"/>
      <w:r>
        <w:rPr>
          <w:rFonts w:hint="default"/>
          <w:lang w:val="en-US" w:eastAsia="zh-CN"/>
        </w:rPr>
        <w:t>沟通质量要求</w:t>
      </w:r>
      <w:bookmarkEnd w:id="34"/>
      <w:bookmarkEnd w:id="35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及时性：各类沟通应在规定时限内响应和完成。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准确性：传递的信息应准确、完整、清晰。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专业性：沟通人员应具备良好的专业素养和沟通技巧。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记录完整性：重要沟通必须有记录，确保可追溯。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闭环管理：客户提出的问题、需求、投诉应有反馈、有处理、有验证。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6" w:name="_Toc23163"/>
      <w:bookmarkStart w:id="37" w:name="_Toc2114"/>
      <w:r>
        <w:rPr>
          <w:rFonts w:hint="default"/>
          <w:lang w:val="en-US" w:eastAsia="zh-CN"/>
        </w:rPr>
        <w:t>沟通改进</w:t>
      </w:r>
      <w:bookmarkEnd w:id="36"/>
      <w:bookmarkEnd w:id="3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质量部应定期分析沟通记录，识别沟通中存在的问题和改进机会，纳入质量改进流程。常见沟通问题包括：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信息传递不及时、不准确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客户需求未有效传递到内部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沟通渠道不畅通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沟通记录不完整</w:t>
      </w:r>
      <w:bookmarkStart w:id="38" w:name="_GoBack"/>
      <w:bookmarkEnd w:id="3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改进措施应纳入《改进管理制度》跟踪落实。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9" w:name="_Toc20116"/>
      <w:bookmarkStart w:id="40" w:name="_Toc25596"/>
      <w:r>
        <w:rPr>
          <w:rFonts w:hint="default"/>
          <w:lang w:val="en-US" w:eastAsia="zh-CN"/>
        </w:rPr>
        <w:t>输出的文件和记录</w:t>
      </w:r>
      <w:bookmarkEnd w:id="39"/>
      <w:bookmarkEnd w:id="4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运维沟通</w:t>
      </w:r>
      <w:r>
        <w:rPr>
          <w:rFonts w:hint="default"/>
          <w:lang w:val="en-US" w:eastAsia="zh-CN"/>
        </w:rPr>
        <w:t>相关文件和记录如表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-1所示。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11188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bookmarkEnd w:id="4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27"/>
        <w:gridCol w:w="2504"/>
        <w:gridCol w:w="189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12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5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89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《年度沟通计划》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《沟通记录》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《客户投诉处理记录表》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运维部服务台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《会议纪要》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相关部门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《服务报告》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《满意度调查回访记录》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12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《邮件/即时通讯沟通存档》</w:t>
            </w:r>
          </w:p>
        </w:tc>
        <w:tc>
          <w:tcPr>
            <w:tcW w:w="25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相关部门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1年</w:t>
            </w:r>
          </w:p>
        </w:tc>
      </w:tr>
    </w:tbl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41348BA"/>
    <w:multiLevelType w:val="singleLevel"/>
    <w:tmpl w:val="841348B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2F48315E"/>
    <w:multiLevelType w:val="singleLevel"/>
    <w:tmpl w:val="2F48315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3CFCD94"/>
    <w:multiLevelType w:val="singleLevel"/>
    <w:tmpl w:val="33CFCD9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1446</Words>
  <Characters>1562</Characters>
  <Application>Microsoft Office Word</Application>
  <DocSecurity>0</DocSecurity>
  <Lines>0</Lines>
  <Paragraphs>0</Paragraphs>
  <ScaleCrop>false</ScaleCrop>
  <Company/>
  <LinksUpToDate>false</LinksUpToDate>
  <CharactersWithSpaces>1656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2026-04-07T18:56:54Z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