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2026年度实施计划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_Toc19908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_Toc9050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_Toc9050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_Toc12553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_Toc15537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_Toc19404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_Toc27363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_Toc29893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_Toc7824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_Toc15501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4.1. 人员资源</w:t>
          </w:r>
          <w:r>
            <w:tab/>
          </w:r>
          <w:r>
            <w:fldChar w:fldCharType="begin"/>
          </w:r>
          <w:r>
            <w:instrText xml:space="preserve"> PAGEREF _Toc15501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_Toc31595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4.2. 硬件资源</w:t>
          </w:r>
          <w:r>
            <w:tab/>
          </w:r>
          <w:r>
            <w:fldChar w:fldCharType="begin"/>
          </w:r>
          <w:r>
            <w:instrText xml:space="preserve"> PAGEREF _Toc31595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4.3. 软件资源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_Toc13625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_Toc19765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_Toc22393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_Toc22382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_Toc22382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_Toc12398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_Toc12398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9908"/>
      <w:bookmarkStart w:id="2" w:name="heading_2"/>
      <w:r>
        <w:t>计划概述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9050"/>
      <w:r>
        <w:t>计划基本信息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2382"/>
      <w:bookmarkStart w:id="6" w:name="_Toc1925"/>
      <w:bookmarkStart w:id="7" w:name="_Toc30342"/>
      <w:r>
        <w:rPr>
          <w:rFonts w:hint="eastAsia"/>
          <w:lang w:val="en-US" w:eastAsia="zh-CN"/>
        </w:rPr>
        <w:t xml:space="preserve"> 项目基本信息表</w:t>
      </w:r>
      <w:bookmarkEnd w:id="5"/>
      <w:bookmarkEnd w:id="6"/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538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53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项目名称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2026年国电电力湖南新能源系统运维项目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计划周期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1年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计划开始日期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合同生效后第1周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计划负责人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</w:tbl>
    <w:p>
      <w:pPr>
        <w:pStyle w:val="2"/>
        <w:bidi w:val="0"/>
      </w:pPr>
      <w:bookmarkStart w:id="8" w:name="_Toc12553"/>
      <w:bookmarkStart w:id="9" w:name="heading_4"/>
      <w:r>
        <w:rPr>
          <w:rFonts w:hint="eastAsia"/>
          <w:lang w:val="en-US" w:eastAsia="zh-CN"/>
        </w:rPr>
        <w:t>年度</w:t>
      </w:r>
      <w:bookmarkStart w:id="10" w:name="_GoBack"/>
      <w:bookmarkEnd w:id="10"/>
      <w:r>
        <w:rPr>
          <w:rFonts w:hint="eastAsia"/>
          <w:lang w:val="en-US" w:eastAsia="zh-CN"/>
        </w:rPr>
        <w:t>工作目标</w:t>
      </w:r>
      <w:bookmarkEnd w:id="8"/>
    </w:p>
    <w:p>
      <w:pPr>
        <w:pStyle w:val="a2"/>
        <w:rPr>
          <w:rFonts w:hint="eastAsia"/>
        </w:rPr>
      </w:pPr>
      <w:r>
        <w:rPr>
          <w:rFonts w:hint="eastAsia"/>
        </w:rPr>
        <w:t>本年度工作围绕系统成功上线和稳定运行两大核心任务展开。项目启动后，通过需求确认、系统部署、培训实施、试运行等阶段，确保新能源系统在合同生效后第14周内正式投入运行，系统功能完整实现合同约定的各项业务需求。</w:t>
      </w:r>
    </w:p>
    <w:p>
      <w:pPr>
        <w:pStyle w:val="a2"/>
        <w:rPr>
          <w:rFonts w:hint="eastAsia"/>
        </w:rPr>
      </w:pPr>
      <w:r>
        <w:rPr>
          <w:rFonts w:hint="eastAsia"/>
        </w:rPr>
        <w:t>系统上线后进入正式运维阶段，全年保障新能源系统可用性达到99.5%以上，全年计划内维护和计划外故障导致的停机时间总计不超过43.8小时。建立规范的运维服务体系，实现故障响应时间不超过2小时，一级告警15分钟内响应处理。</w:t>
      </w:r>
    </w:p>
    <w:p>
      <w:pPr>
        <w:pStyle w:val="a2"/>
        <w:rPr>
          <w:rFonts w:hint="eastAsia"/>
        </w:rPr>
      </w:pPr>
      <w:r>
        <w:rPr>
          <w:rFonts w:hint="eastAsia"/>
        </w:rPr>
        <w:t>人员培训方面，确保甲方所有操作人员和管理员完成系统操作培训，培训覆盖率达到100%，参训人员能够独立完成日常业务操作。同时建立完善的运维知识库，为后续运维提供技术支持。</w:t>
      </w:r>
    </w:p>
    <w:p>
      <w:pPr>
        <w:pStyle w:val="a2"/>
      </w:pPr>
      <w:r>
        <w:rPr>
          <w:rFonts w:hint="eastAsia"/>
        </w:rPr>
        <w:t>服务质量方面，每季度开展客户满意度调查，全年平均满意度不低于90分。通过持续的服务改进，确保全年无重大服务中断事件，一级事件发生次数为0次，为客户提供稳定、可靠的系统运行保障。</w:t>
      </w:r>
    </w:p>
    <w:p>
      <w:pPr>
        <w:pStyle w:val="2"/>
        <w:bidi w:val="0"/>
      </w:pPr>
      <w:bookmarkStart w:id="11" w:name="_Toc16083"/>
      <w:r>
        <w:t>实施原则</w:t>
      </w:r>
      <w:bookmarkEnd w:id="9"/>
      <w:bookmarkEnd w:id="11"/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分阶段推进：按照项目启动、需求确认、系统部署、系统培训、试运行、验收六个阶段有序推进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里程碑控制：设置关键里程碑节点，确保项目进度可控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质量优先：每个阶段完成后进行评审，确保交付质量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客户参与：关键节点需甲方确认，确保项目方向一致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正式运维阶段，持续开展系统监控、性能分析和服务改进，通过PDCA循环不断优化运维服务质量。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655"/>
      <w:r>
        <w:rPr>
          <w:rFonts w:hint="default"/>
          <w:lang w:val="en-US" w:eastAsia="zh-CN"/>
        </w:rPr>
        <w:t>年度工作阶段划分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12398"/>
      <w:r>
        <w:rPr>
          <w:rFonts w:hint="eastAsia"/>
          <w:lang w:val="en-US" w:eastAsia="zh-CN"/>
        </w:rPr>
        <w:t xml:space="preserve"> 年度工作阶段划分表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21"/>
        <w:gridCol w:w="1231"/>
        <w:gridCol w:w="54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11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阶段名称</w:t>
            </w:r>
          </w:p>
        </w:tc>
        <w:tc>
          <w:tcPr>
            <w:tcW w:w="12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54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主要任务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第1-2周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组建项目团队、召开项目启动会、确认年度计划、建立沟通机制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需求确认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第3-4周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业务流程调研、功能需求确认、硬件环境检查、数据迁移方案确认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系统部署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第5-8周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服务器环境准备、网络连通性测试、系统安装配置、数据库初始化、历史数据导入、现场设备调试、功能测试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系统培训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第9-10周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操作手册编写、培训材料准备、操作人员培训、管理员培训、培训效果评估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试运行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第11-14周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系统正式上线、试运行监控、问题收集处理、系统优化调整、试运行总结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正式运维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第15-52周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日常运维、巡检监控、故障处理、服务报告、持续优化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15537"/>
      <w:r>
        <w:rPr>
          <w:rFonts w:hint="default"/>
          <w:lang w:val="en-US" w:eastAsia="zh-CN"/>
        </w:rPr>
        <w:t>年度详细工作计划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404"/>
      <w:r>
        <w:rPr>
          <w:rFonts w:hint="default"/>
          <w:lang w:val="en-US" w:eastAsia="zh-CN"/>
        </w:rPr>
        <w:t>第一阶段：项目启动（第1-2周）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项目启动相关准备工作。第1周，项目经理组织组建项目团队，明确各成员职责分工，形成《项目通讯录》。随后召开项目启动会，双方项目组共同确认项目目标、范围、计划，形成《项目启动会纪要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第2周，项目经理编制《年度实施与运维计划》，明确各阶段工作安排和交付物要求。同时建立项目沟通机制，明确周例会、周报、问题跟踪等沟通方式。与甲方共同明确项目验收标准，形成《项目验收标准》。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5731"/>
      <w:r>
        <w:rPr>
          <w:rFonts w:hint="default"/>
          <w:lang w:val="en-US" w:eastAsia="zh-CN"/>
        </w:rPr>
        <w:t>第二阶段：需求确认（第3-4周）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需求调研和确认工作。第3周，技术负责人开展业务流程调研，深入了解甲方现有业务流程和管理需求，形成《业务流程调研记录》。随后确认功能需求清单，明确新能源系统需要实现的功能范围。硬件负责人同步开展硬件环境检查，确认服务器、网络、现场设备满足系统运行要求，形成《硬件环境检查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第4周，技术负责人确认数据迁移方案，明确数据迁移范围、方式和回退方案。项目经理确认运维服务要求，明确响应时间、服务范围等内容。最后编制《需求确认书》，经双方确认后作为后续工作的依据。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6150"/>
      <w:r>
        <w:rPr>
          <w:rFonts w:hint="default"/>
          <w:lang w:val="en-US" w:eastAsia="zh-CN"/>
        </w:rPr>
        <w:t>第三阶段：系统部署（第5-8周）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本阶段主要完成系统部署和功能测试工作。第5周，硬件负责人完成服务器环境准备，确保操作系统、网络环境就绪。同步完成网络连通性测试，形成《网络测试报告》。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第6周，技术负责人完成新能源系统部署和系统配置，确保系统参数符合业务需求。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第7周，技术负责人完成数据库初始化和历史数据导入，形成《数据迁移确认书》。硬件负责人完成现场设备调试，确保服务器、工作站、监控设备等设备与系统正常通信。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第8周，技术负责人完成系统功能测试，验证各功能模块运行正常，形成《功能测试报告》。最后编制《系统部署报告》，总结本阶段工作成果。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5223"/>
      <w:r>
        <w:rPr>
          <w:rFonts w:hint="default"/>
          <w:lang w:val="en-US" w:eastAsia="zh-CN"/>
        </w:rPr>
        <w:t>第四阶段：系统培训（第9-10周）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培训实施工作。第9周，培训负责人编写《操作手册》，内容涵盖系统登录、业务操作、常见问题处理等。同时准备《培训材料》，包括培训PPT、操作演示视频等。组织操作人员培训，确保一线业务人员掌握系统操作技能，形成《培训签到表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10周，组织管理员培训，培训内容包括系统配置、用户管理、备份恢复等，形成《培训签到表》。培训结束后进行效果评估，收集参训人员反馈，形成《培训评估表》。技术负责人同步编制《运维服务手册》，为后续运维工作提供指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363"/>
      <w:r>
        <w:rPr>
          <w:rFonts w:hint="default"/>
          <w:lang w:val="en-US" w:eastAsia="zh-CN"/>
        </w:rPr>
        <w:t>第五阶段：试运行（第11-14周）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本阶段主要完成系统上线和试运行验证工作。第11周，技术负责人执行系统正式上线，将系统切换至生产环境运行。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11至14周，技术负责人持续进行试运行监控，每日检查系统运行状态、服务器性能、网络连通性等，形成监控记录。培训负责人同步收集用户反馈问题，记录在问题台账中。技术负责人根据问题优先级进行处理和修复，必要时进行系统优化调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第14周，项目经理总结试运行情况，统计问题处理情况、系统运行指标等，形成《试运行报告》，作为项目验收的依据。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93"/>
      <w:r>
        <w:rPr>
          <w:rFonts w:hint="default"/>
          <w:lang w:val="en-US" w:eastAsia="zh-CN"/>
        </w:rPr>
        <w:t>第六阶段：正式运维（第15-52周）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本阶段为系统正式运维期，持续至合同结束。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日常运维工作：技术负责人每日检查系统运行状态和服务器性能，硬件负责人每日测试网络连通性并监控服务器状态，每日执行数据备份并记录备份结果。每周开展现场设备巡检，确保服务器、工作站、监控设备等设备正常运行。服务台专员负责受理用户事件请求，记录处理过程，并定期开展客户回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月度运维工作：每月第一周，技术负责人检查并安装系统安全补丁；第二周进行数据库健康检查；第三周进行备份恢复验证，确保备份数据可用；第四周统计月度可用性数据，编制《月度可用性报告》和《月度运维服务报告》，提交甲方确认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季度运维工作：每季度末，技术负责人开展系统性能评估和容量分析，编制相应报告。项目经理组织客户满意度调查，收集甲方反馈意见，分析满意度数据，编制《满意度调查报告》，并制定下季度服务改进计划。硬件负责人同步开展季度硬件设备巡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年度运维工作：第52周，项目经理统计全年可用性数据，编制《年度可用性报告》和《年度服务总结报告》，总结全年运维工作成效。同时制定《下年度服务计划》，为合同续签或服务延续做好准备。运维部经理在年度内组织一次应急演练，验证应急预案有效性，形成《应急演练报告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7824"/>
      <w:r>
        <w:rPr>
          <w:rFonts w:hint="default"/>
          <w:lang w:val="en-US" w:eastAsia="zh-CN"/>
        </w:rPr>
        <w:t>年度资源安排</w:t>
      </w:r>
      <w:bookmarkEnd w:id="21"/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2" w:name="_Toc15501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人员资源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投入的人员资源包括：项目经理负责项目整体管理、协调和沟通，投入全程；技术负责人负责系统部署、配置和问题处理，投入全程；硬件负责人负责硬件环境检查、网络调试和设备维护，投入全程；培训负责人负责培训材料编写和培训实施，投入第9-10周；服务台专员负责事件受理和客户回访，投入第15-52周；质量监督按需参与质量检查和验收工作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3" w:name="_Toc31595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硬件资源由甲方提供，主要包括：应用服务器1台，配置为CPU 4核、内存16G、磁盘500G；数据库服务器1台，配置相同；网络设备包括路由器、交换机等；现场设备包括服务器、工作站、监控设备等。乙方提供备用服务器1台，用于应急切换；提供测试笔记本电脑1台，用于系统测试和调试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4" w:name="_Toc29566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软件资源由乙方提供，包括2026年国电电力湖南新能源系统运维项目、MySQL数据库软件、监控工具等。操作系统由甲方提供，包括Linux或Windows Server。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2203"/>
      <w:r>
        <w:rPr>
          <w:rFonts w:hint="default"/>
          <w:lang w:val="en-US" w:eastAsia="zh-CN"/>
        </w:rPr>
        <w:t>年度里程碑节点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2075"/>
      <w:r>
        <w:rPr>
          <w:rFonts w:hint="eastAsia"/>
          <w:lang w:val="en-US" w:eastAsia="zh-CN"/>
        </w:rPr>
        <w:t xml:space="preserve"> 年度里程碑节点表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81"/>
        <w:gridCol w:w="4066"/>
        <w:gridCol w:w="104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  <w:tc>
          <w:tcPr>
            <w:tcW w:w="40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交付物</w:t>
            </w:r>
          </w:p>
        </w:tc>
        <w:tc>
          <w:tcPr>
            <w:tcW w:w="10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确认方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《项目启动会纪要》《年度实施与运维计划》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《需求确认书》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《系统部署报告》《功能测试报告》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乙方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《培训签到表》《培训评估表》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《试运行报告》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《项目验收报告》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《季度运维服务报告》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《年度服务总结报告》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1697"/>
      <w:r>
        <w:rPr>
          <w:rFonts w:hint="default"/>
          <w:lang w:val="en-US" w:eastAsia="zh-CN"/>
        </w:rPr>
        <w:t>年度风险与应对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本项目可能面临的主要风险及应对措施如下：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硬件环境不满足要求。发生概率约30%，风险等级中等。应对措施是在项目启动阶段提前进行硬件环境检查，明确告知甲方配置要求。如硬件不满足要求，应急方案是协调甲方升级或调整配置。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网络不稳定。发生概率约20%，风险等级中等。应对措施是在部署阶段测试网络连通性，建议甲方配置备用线路。如网络中断，应急方案是启用备用线路或临时调整业务处理方式。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数据迁移失败。发生概率约15%，风险等级中等。应对措施是提前进行数据备份，制定详细的迁移回退方案。如迁移失败，应急方案是执行回退，修复问题后重新迁移。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系统上线后故障。发生概率约20%，风险等级中等。应对措施是制定完整的回退方案，设置24小时紧急联系人。如发生故障，应急方案是执行回退，紧急修复后重新上线。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服务器硬件故障。发生概率约10%，风险等级中等。应对措施是每日巡检服务器状态，配置备用服务器。如硬件故障，应急方案是切换至备用服务器，维修故障设备。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数据库损坏。发生概率约5%，风险等级低。应对措施是每日自动备份，异地存储备份数据。如数据库损坏，应急方案是从备份数据恢复。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人员变动。发生概率约15%，风险等级低。应对措施是建立完善的知识库，关键岗位设置AB角。如人员变动，应急方案是储备人员及时接替。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客户满意度下降。发生概率约20%，风险等级中等。应对措施是定期与客户沟通，及时处理反馈问题。如满意度下降，应急方案是制定专项改进计划，跟踪整改效果。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3625"/>
      <w:r>
        <w:rPr>
          <w:rFonts w:hint="default"/>
          <w:lang w:val="en-US" w:eastAsia="zh-CN"/>
        </w:rPr>
        <w:t>计划跟踪机制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9765"/>
      <w:r>
        <w:rPr>
          <w:rFonts w:hint="default"/>
          <w:lang w:val="en-US" w:eastAsia="zh-CN"/>
        </w:rPr>
        <w:t>进度跟踪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周一召开项目周例会，双方项目组共同汇报上周工作进展，分析存在的问题，安排本周工作任务。每周五提交项目周报，内容包括本周工作完成情况、问题处理情况、风险状态、下周工作计划。每月末提交项目月报，内容包括月度工作统计、可用性分析、服务报告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每个里程碑完成后，组织里程碑评审会议，确认阶段成果，评估是否具备进入下一阶段的条件。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8041"/>
      <w:r>
        <w:rPr>
          <w:rFonts w:hint="default"/>
          <w:lang w:val="en-US" w:eastAsia="zh-CN"/>
        </w:rPr>
        <w:t>问题跟踪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建立《项目问题跟踪表》，记录所有发现的问题，包括问题描述、发现时间、责任人、处理方案、处理状态、关闭时间。问题按照影响程度分级管理，重大问题需在24小时内解决，一般问题在3天内解决。问题解决后需经提出方确认，方可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565"/>
      <w:r>
        <w:rPr>
          <w:rFonts w:hint="default"/>
          <w:lang w:val="en-US" w:eastAsia="zh-CN"/>
        </w:rPr>
        <w:t>变更管理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项目范围、计划发生变更时，需提交《项目变更申请单》，说明变更原因、变更内容、影响评估。变更需经项目经理和甲方确认后方可执行。所有变更记录在《项目变更记录表》中，作为项目过程资产归档。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22393"/>
      <w:r>
        <w:rPr>
          <w:rFonts w:hint="default"/>
          <w:lang w:val="en-US" w:eastAsia="zh-CN"/>
        </w:rPr>
        <w:t>服务质量监控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日监控系统可用性，记录系统运行状态和性能指标。每月统计SLA达成情况，包括可用性达标率、响应及时率、故障解决率等。未达标项需分析原因，启动改进措施。每季度开展客户满意度调查，收集甲方反馈意见，根据调查结果制定服务改进计划，跟踪改进措施落实情况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4090AEF"/>
    <w:multiLevelType w:val="singleLevel"/>
    <w:tmpl w:val="44090A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2380</Words>
  <Characters>2588</Characters>
  <Application>Microsoft Office Word</Application>
  <DocSecurity>0</DocSecurity>
  <Lines>0</Lines>
  <Paragraphs>0</Paragraphs>
  <ScaleCrop>false</ScaleCrop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2026-04-09T20:15:01Z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