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2026年度总结报告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SFKJ-ITSS-0904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_Toc30704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报告概述</w:t>
          </w:r>
          <w:r>
            <w:tab/>
          </w:r>
          <w:r>
            <w:fldChar w:fldCharType="begin"/>
          </w:r>
          <w:r>
            <w:instrText xml:space="preserve"> PAGEREF _Toc30704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1.1. 报告基本信息</w:t>
          </w:r>
          <w:r>
            <w:tab/>
          </w:r>
          <w:r>
            <w:fldChar w:fldCharType="begin"/>
          </w:r>
          <w:r>
            <w:instrText xml:space="preserve"> PAGEREF _Toc29274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1.2. 报告目的</w:t>
          </w:r>
          <w:r>
            <w:tab/>
          </w:r>
          <w:r>
            <w:fldChar w:fldCharType="begin"/>
          </w:r>
          <w:r>
            <w:instrText xml:space="preserve"> PAGEREF _Toc12167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项目实施情况总结</w:t>
          </w:r>
          <w:r>
            <w:tab/>
          </w:r>
          <w:r>
            <w:fldChar w:fldCharType="begin"/>
          </w:r>
          <w:r>
            <w:instrText xml:space="preserve"> PAGEREF _Toc17582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项目整体进展</w:t>
          </w:r>
          <w:r>
            <w:tab/>
          </w:r>
          <w:r>
            <w:fldChar w:fldCharType="begin"/>
          </w:r>
          <w:r>
            <w:instrText xml:space="preserve"> PAGEREF _Toc26980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各阶段工作回顾</w:t>
          </w:r>
          <w:r>
            <w:tab/>
          </w:r>
          <w:r>
            <w:fldChar w:fldCharType="begin"/>
          </w:r>
          <w:r>
            <w:instrText xml:space="preserve"> PAGEREF _Toc12340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运维服务执行情况</w:t>
          </w:r>
          <w:r>
            <w:tab/>
          </w:r>
          <w:r>
            <w:fldChar w:fldCharType="begin"/>
          </w:r>
          <w:r>
            <w:instrText xml:space="preserve"> PAGEREF _Toc22683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日常运维执行情况</w:t>
          </w:r>
          <w:r>
            <w:tab/>
          </w:r>
          <w:r>
            <w:fldChar w:fldCharType="begin"/>
          </w:r>
          <w:r>
            <w:instrText xml:space="preserve"> PAGEREF _Toc21971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月度运维工作执行情况</w:t>
          </w:r>
          <w:r>
            <w:tab/>
          </w:r>
          <w:r>
            <w:fldChar w:fldCharType="begin"/>
          </w:r>
          <w:r>
            <w:instrText xml:space="preserve"> PAGEREF _Toc29716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季度运维工作执行情况</w:t>
          </w:r>
          <w:r>
            <w:tab/>
          </w:r>
          <w:r>
            <w:fldChar w:fldCharType="begin"/>
          </w:r>
          <w:r>
            <w:instrText xml:space="preserve"> PAGEREF _Toc11266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服务台运行情况</w:t>
          </w:r>
          <w:r>
            <w:tab/>
          </w:r>
          <w:r>
            <w:fldChar w:fldCharType="begin"/>
          </w:r>
          <w:r>
            <w:instrText xml:space="preserve"> PAGEREF _Toc3799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_Toc15982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质量目标达成情况</w:t>
          </w:r>
          <w:r>
            <w:tab/>
          </w:r>
          <w:r>
            <w:fldChar w:fldCharType="begin"/>
          </w:r>
          <w:r>
            <w:instrText xml:space="preserve"> PAGEREF _Toc15982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可用性目标达成情况</w:t>
          </w:r>
          <w:r>
            <w:tab/>
          </w:r>
          <w:r>
            <w:fldChar w:fldCharType="begin"/>
          </w:r>
          <w:r>
            <w:instrText xml:space="preserve"> PAGEREF _Toc32656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服务质量目标达成情况</w:t>
          </w:r>
          <w:r>
            <w:tab/>
          </w:r>
          <w:r>
            <w:fldChar w:fldCharType="begin"/>
          </w:r>
          <w:r>
            <w:instrText xml:space="preserve"> PAGEREF _Toc998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_Toc14691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服务报告提交情况</w:t>
          </w:r>
          <w:r>
            <w:tab/>
          </w:r>
          <w:r>
            <w:fldChar w:fldCharType="begin"/>
          </w:r>
          <w:r>
            <w:instrText xml:space="preserve"> PAGEREF _Toc14691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_Toc17500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存在问题与改进措施</w:t>
          </w:r>
          <w:r>
            <w:tab/>
          </w:r>
          <w:r>
            <w:fldChar w:fldCharType="begin"/>
          </w:r>
          <w:r>
            <w:instrText xml:space="preserve"> PAGEREF _Toc17500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存在的主要问题</w:t>
          </w:r>
          <w:r>
            <w:tab/>
          </w:r>
          <w:r>
            <w:fldChar w:fldCharType="begin"/>
          </w:r>
          <w:r>
            <w:instrText xml:space="preserve"> PAGEREF _Toc2130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改进措施</w:t>
          </w:r>
          <w:r>
            <w:tab/>
          </w:r>
          <w:r>
            <w:fldChar w:fldCharType="begin"/>
          </w:r>
          <w:r>
            <w:instrText xml:space="preserve"> PAGEREF _Toc6208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_Toc30132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下阶段工作计划</w:t>
          </w:r>
          <w:r>
            <w:tab/>
          </w:r>
          <w:r>
            <w:fldChar w:fldCharType="begin"/>
          </w:r>
          <w:r>
            <w:instrText xml:space="preserve"> PAGEREF _Toc30132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_Toc5005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下阶段工作重点</w:t>
          </w:r>
          <w:r>
            <w:tab/>
          </w:r>
          <w:r>
            <w:fldChar w:fldCharType="begin"/>
          </w:r>
          <w:r>
            <w:instrText xml:space="preserve"> PAGEREF _Toc5005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下阶段工作安排</w:t>
          </w:r>
          <w:r>
            <w:tab/>
          </w:r>
          <w:r>
            <w:fldChar w:fldCharType="begin"/>
          </w:r>
          <w:r>
            <w:instrText xml:space="preserve"> PAGEREF _Toc15766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总结</w:t>
          </w:r>
          <w:r>
            <w:tab/>
          </w:r>
          <w:r>
            <w:fldChar w:fldCharType="begin"/>
          </w:r>
          <w:r>
            <w:instrText xml:space="preserve"> PAGEREF _Toc558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_Toc2221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项目基本信息表</w:t>
      </w:r>
      <w:r>
        <w:tab/>
      </w:r>
      <w:r>
        <w:fldChar w:fldCharType="begin"/>
      </w:r>
      <w:r>
        <w:instrText xml:space="preserve"> PAGEREF _Toc2221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_Toc21327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项目里程碑完成情况表</w:t>
      </w:r>
      <w:r>
        <w:tab/>
      </w:r>
      <w:r>
        <w:fldChar w:fldCharType="begin"/>
      </w:r>
      <w:r>
        <w:instrText xml:space="preserve"> PAGEREF _Toc21327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_Toc3843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日常运维执行统计表</w:t>
      </w:r>
      <w:r>
        <w:tab/>
      </w:r>
      <w:r>
        <w:fldChar w:fldCharType="begin"/>
      </w:r>
      <w:r>
        <w:instrText xml:space="preserve"> PAGEREF _Toc3843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_Toc717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月度运维执行统计表</w:t>
      </w:r>
      <w:r>
        <w:tab/>
      </w:r>
      <w:r>
        <w:fldChar w:fldCharType="begin"/>
      </w:r>
      <w:r>
        <w:instrText xml:space="preserve"> PAGEREF _Toc717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_Toc5529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季度运维执行统计表</w:t>
      </w:r>
      <w:r>
        <w:tab/>
      </w:r>
      <w:r>
        <w:fldChar w:fldCharType="begin"/>
      </w:r>
      <w:r>
        <w:instrText xml:space="preserve"> PAGEREF _Toc5529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_Toc11162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服务台运行统计表</w:t>
      </w:r>
      <w:r>
        <w:tab/>
      </w:r>
      <w:r>
        <w:fldChar w:fldCharType="begin"/>
      </w:r>
      <w:r>
        <w:instrText xml:space="preserve"> PAGEREF _Toc11162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_Toc24477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可用性目标达成表</w:t>
      </w:r>
      <w:r>
        <w:tab/>
      </w:r>
      <w:r>
        <w:fldChar w:fldCharType="begin"/>
      </w:r>
      <w:r>
        <w:instrText xml:space="preserve"> PAGEREF _Toc24477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_Toc32761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服务质量目标达成表</w:t>
      </w:r>
      <w:r>
        <w:tab/>
      </w:r>
      <w:r>
        <w:fldChar w:fldCharType="begin"/>
      </w:r>
      <w:r>
        <w:instrText xml:space="preserve"> PAGEREF _Toc32761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_Toc13319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改进措施</w:t>
      </w:r>
      <w:r>
        <w:rPr>
          <w:rFonts w:hint="default"/>
          <w:lang w:val="en-US" w:eastAsia="zh-CN"/>
        </w:rPr>
        <w:t>表</w:t>
      </w:r>
      <w:r>
        <w:tab/>
      </w:r>
      <w:r>
        <w:fldChar w:fldCharType="begin"/>
      </w:r>
      <w:r>
        <w:instrText xml:space="preserve"> PAGEREF _Toc13319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_Toc5697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2026年度运维计划表</w:t>
      </w:r>
      <w:r>
        <w:tab/>
      </w:r>
      <w:r>
        <w:fldChar w:fldCharType="begin"/>
      </w:r>
      <w:r>
        <w:instrText xml:space="preserve"> PAGEREF _Toc5697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30704"/>
      <w:r>
        <w:rPr>
          <w:rFonts w:hint="default"/>
          <w:lang w:val="en-US" w:eastAsia="zh-CN"/>
        </w:rPr>
        <w:t>报告概述</w:t>
      </w:r>
      <w:bookmarkEnd w:id="1"/>
    </w:p>
    <w:p>
      <w:pPr>
        <w:pStyle w:val="2"/>
        <w:bidi w:val="0"/>
        <w:rPr>
          <w:rFonts w:hint="default"/>
          <w:lang w:val="en-US" w:eastAsia="zh-CN"/>
        </w:rPr>
      </w:pPr>
      <w:bookmarkStart w:id="2" w:name="_Toc29274"/>
      <w:r>
        <w:rPr>
          <w:rFonts w:hint="default"/>
          <w:lang w:val="en-US" w:eastAsia="zh-CN"/>
        </w:rPr>
        <w:t>报告基本信息</w:t>
      </w:r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" w:name="_Toc2221"/>
      <w:bookmarkStart w:id="4" w:name="_Toc16208"/>
      <w:bookmarkStart w:id="5" w:name="_Toc1925"/>
      <w:bookmarkStart w:id="6" w:name="_Toc30342"/>
      <w:r>
        <w:rPr>
          <w:rFonts w:hint="eastAsia"/>
          <w:lang w:val="en-US" w:eastAsia="zh-CN"/>
        </w:rPr>
        <w:t xml:space="preserve"> 项目基本信息表</w:t>
      </w:r>
      <w:bookmarkEnd w:id="3"/>
      <w:bookmarkEnd w:id="4"/>
      <w:bookmarkEnd w:id="5"/>
      <w:bookmarkEnd w:id="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20"/>
        <w:gridCol w:w="610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</w:t>
            </w:r>
          </w:p>
        </w:tc>
        <w:tc>
          <w:tcPr>
            <w:tcW w:w="610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内容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项目名称</w:t>
            </w:r>
          </w:p>
        </w:tc>
        <w:tc>
          <w:tcPr>
            <w:tcW w:w="61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2026年国电电力湖南新能源系统运维项目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报告周期</w:t>
            </w:r>
          </w:p>
        </w:tc>
        <w:tc>
          <w:tcPr>
            <w:tcW w:w="61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合同生效日 至 2026年12月31日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报告类型</w:t>
            </w:r>
          </w:p>
        </w:tc>
        <w:tc>
          <w:tcPr>
            <w:tcW w:w="61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阶段性总结报告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报告责任人</w:t>
            </w:r>
          </w:p>
        </w:tc>
        <w:tc>
          <w:tcPr>
            <w:tcW w:w="61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运维项目经理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报告审核人</w:t>
            </w:r>
          </w:p>
        </w:tc>
        <w:tc>
          <w:tcPr>
            <w:tcW w:w="61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运维部经理</w:t>
            </w:r>
          </w:p>
        </w:tc>
      </w:tr>
    </w:tbl>
    <w:p>
      <w:pPr>
        <w:pStyle w:val="Heading2"/>
        <w:bidi w:val="0"/>
        <w:rPr>
          <w:rFonts w:hint="default"/>
          <w:lang w:val="en-US" w:eastAsia="zh-CN"/>
        </w:rPr>
      </w:pPr>
      <w:bookmarkStart w:id="7" w:name="_Toc12167"/>
      <w:r>
        <w:rPr>
          <w:rFonts w:hint="default"/>
          <w:lang w:val="en-US" w:eastAsia="zh-CN"/>
        </w:rPr>
        <w:t>报告目的</w:t>
      </w:r>
      <w:bookmarkEnd w:id="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旨在总结《2026年国电电力湖南新能源系统运维项目》项目自合同生效以来至2026年12月31日的实施与运维情况，回顾项目各阶段工作完成情况，评估服务质量目标达成情况，分析存在的问题，提出改进措施，并为下一阶段工作提供指导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17582"/>
      <w:r>
        <w:rPr>
          <w:rFonts w:hint="default"/>
          <w:lang w:val="en-US" w:eastAsia="zh-CN"/>
        </w:rPr>
        <w:t>项目实施情况总结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6980"/>
      <w:r>
        <w:rPr>
          <w:rFonts w:hint="default"/>
          <w:lang w:val="en-US" w:eastAsia="zh-CN"/>
        </w:rPr>
        <w:t>项目整体进展</w:t>
      </w:r>
      <w:bookmarkEnd w:id="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自合同生效以来，项目按照《年度实施与运维计划》有序推进，已完成项目启动、需求确认、系统部署、系统培训、试运行五个阶段工作，系统已于合同生效后第14周正式投入运行，目前处于正式运维阶段。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0" w:name="_Toc21327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项目里程碑完成情况表</w:t>
      </w:r>
      <w:bookmarkEnd w:id="1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45"/>
        <w:gridCol w:w="1453"/>
        <w:gridCol w:w="1926"/>
        <w:gridCol w:w="1571"/>
        <w:gridCol w:w="132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24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里程碑</w:t>
            </w:r>
          </w:p>
        </w:tc>
        <w:tc>
          <w:tcPr>
            <w:tcW w:w="145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计划时间</w:t>
            </w:r>
          </w:p>
        </w:tc>
        <w:tc>
          <w:tcPr>
            <w:tcW w:w="192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实际完成时间</w:t>
            </w:r>
          </w:p>
        </w:tc>
        <w:tc>
          <w:tcPr>
            <w:tcW w:w="157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状态</w:t>
            </w:r>
          </w:p>
        </w:tc>
        <w:tc>
          <w:tcPr>
            <w:tcW w:w="132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M1：项目启动完成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第2周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第2周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已完成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按期完成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M2：需求确认完成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第4周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第4周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已完成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按期完成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M3：系统部署完成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第8周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第8周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已完成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按期完成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M4：培训完成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第10周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第10周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已完成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按期完成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M5：试运行完成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第14周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第14周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已完成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按期完成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M6：项目验收完成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第15周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第15周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已完成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按期完成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M7：季度运维报告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每季度末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按时提交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已完成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已完成3次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M8：年度服务总结</w:t>
            </w:r>
          </w:p>
        </w:tc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第52周</w:t>
            </w:r>
          </w:p>
        </w:tc>
        <w:tc>
          <w:tcPr>
            <w:tcW w:w="192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第52周</w:t>
            </w:r>
          </w:p>
        </w:tc>
        <w:tc>
          <w:tcPr>
            <w:tcW w:w="157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🔄 进行中</w:t>
            </w:r>
          </w:p>
        </w:tc>
        <w:tc>
          <w:tcPr>
            <w:tcW w:w="13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本报告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1" w:name="_Toc12340"/>
      <w:r>
        <w:rPr>
          <w:rFonts w:hint="default"/>
          <w:lang w:val="en-US" w:eastAsia="zh-CN"/>
        </w:rPr>
        <w:t>各阶段工作回顾</w:t>
      </w:r>
      <w:bookmarkEnd w:id="1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项目启动阶段。完成了项目团队组建，召开了项目启动会，明确了项目目标、范围、计划和沟通机制。双方项目组建立了良好的协作关系，为后续工作顺利开展奠定了基础。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需求确认阶段。深入调研了甲方业务流程和管理需求，确认了新能源系统功能需求清单，完成了硬件环境检查，明确了数据迁移方案。需求确认书经双方确认，为系统建设提供了明确依据。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系统部署阶段。完成了服务器环境准备、网络连通性测试、新能源系统部署配置、数据库初始化、历史数据导入、现场设备调试和系统功能测试。系统部署报告显示，所有功能模块运行正常，满足业务需求。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系统培训阶段。编写了操作手册和培训材料，组织操作人员培训和管理员培训，参训人员覆盖率达到100%。培训效果评估显示，参训人员能够独立完成日常业务操作，培训效果良好。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试运行阶段。系统正式上线运行，经过4周试运行监控，系统运行稳定，用户反馈问题及时处理，试运行报告显示系统具备正式运维条件。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正式运维阶段。自系统验收后进入正式运维阶段，按计划开展日常运维、巡检监控、故障处理、服务报告等工作，系统运行平稳。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22683"/>
      <w:r>
        <w:rPr>
          <w:rFonts w:hint="default"/>
          <w:lang w:val="en-US" w:eastAsia="zh-CN"/>
        </w:rPr>
        <w:t>运维服务执行情况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1971"/>
      <w:r>
        <w:rPr>
          <w:rFonts w:hint="default"/>
          <w:lang w:val="en-US" w:eastAsia="zh-CN"/>
        </w:rPr>
        <w:t>日常运维执行情况</w:t>
      </w:r>
      <w:bookmarkEnd w:id="1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4" w:name="_Toc3843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日常运维执行统计表</w:t>
      </w:r>
      <w:bookmarkEnd w:id="1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43"/>
        <w:gridCol w:w="1660"/>
        <w:gridCol w:w="1660"/>
        <w:gridCol w:w="1391"/>
        <w:gridCol w:w="136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44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运维活动</w:t>
            </w:r>
          </w:p>
        </w:tc>
        <w:tc>
          <w:tcPr>
            <w:tcW w:w="16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计划频次</w:t>
            </w:r>
          </w:p>
        </w:tc>
        <w:tc>
          <w:tcPr>
            <w:tcW w:w="16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实际执行</w:t>
            </w:r>
          </w:p>
        </w:tc>
        <w:tc>
          <w:tcPr>
            <w:tcW w:w="139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执行率</w:t>
            </w:r>
          </w:p>
        </w:tc>
        <w:tc>
          <w:tcPr>
            <w:tcW w:w="13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系统运行状态检查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每日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365次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服务器状态监控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每日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365次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网络连通性测试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每日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365次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数据备份执行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每日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365次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全部成功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现场设备巡检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每周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52次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系统日志分析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每周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52次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服务台事件处理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按需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32次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全部处理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客户回访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每周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52次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29716"/>
      <w:r>
        <w:rPr>
          <w:rFonts w:hint="default"/>
          <w:lang w:val="en-US" w:eastAsia="zh-CN"/>
        </w:rPr>
        <w:t>月度运维工作执行情况</w:t>
      </w:r>
      <w:bookmarkEnd w:id="1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6" w:name="_Toc717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月度运维执行统计表</w:t>
      </w:r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43"/>
        <w:gridCol w:w="1660"/>
        <w:gridCol w:w="1660"/>
        <w:gridCol w:w="1391"/>
        <w:gridCol w:w="1368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44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运维活动</w:t>
            </w:r>
          </w:p>
        </w:tc>
        <w:tc>
          <w:tcPr>
            <w:tcW w:w="16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计划频次</w:t>
            </w:r>
          </w:p>
        </w:tc>
        <w:tc>
          <w:tcPr>
            <w:tcW w:w="16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实际执行</w:t>
            </w:r>
          </w:p>
        </w:tc>
        <w:tc>
          <w:tcPr>
            <w:tcW w:w="139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执行率</w:t>
            </w:r>
          </w:p>
        </w:tc>
        <w:tc>
          <w:tcPr>
            <w:tcW w:w="13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系统补丁更新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每月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12次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数据库健康检查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每月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12次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备份恢复验证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每月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12次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全部成功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月度可用性统计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每月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12次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44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月度运维服务报告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每月</w:t>
            </w:r>
          </w:p>
        </w:tc>
        <w:tc>
          <w:tcPr>
            <w:tcW w:w="16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12次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全部提交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1266"/>
      <w:r>
        <w:rPr>
          <w:rFonts w:hint="default"/>
          <w:lang w:val="en-US" w:eastAsia="zh-CN"/>
        </w:rPr>
        <w:t>季度运维工作执行情况</w:t>
      </w:r>
      <w:bookmarkEnd w:id="1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8" w:name="_Toc5529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季度运维执行统计表</w:t>
      </w:r>
      <w:bookmarkEnd w:id="1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46"/>
        <w:gridCol w:w="1713"/>
        <w:gridCol w:w="1713"/>
        <w:gridCol w:w="1437"/>
        <w:gridCol w:w="141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24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运维活动</w:t>
            </w:r>
          </w:p>
        </w:tc>
        <w:tc>
          <w:tcPr>
            <w:tcW w:w="17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计划频次</w:t>
            </w:r>
          </w:p>
        </w:tc>
        <w:tc>
          <w:tcPr>
            <w:tcW w:w="171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实际执行</w:t>
            </w:r>
          </w:p>
        </w:tc>
        <w:tc>
          <w:tcPr>
            <w:tcW w:w="143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执行率</w:t>
            </w:r>
          </w:p>
        </w:tc>
        <w:tc>
          <w:tcPr>
            <w:tcW w:w="141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系统性能评估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容量分析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客户满意度调查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服务改进计划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24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硬件设备巡检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</w:t>
            </w:r>
          </w:p>
        </w:tc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3799"/>
      <w:r>
        <w:rPr>
          <w:rFonts w:hint="default"/>
          <w:lang w:val="en-US" w:eastAsia="zh-CN"/>
        </w:rPr>
        <w:t>服务台运行情况</w:t>
      </w:r>
      <w:bookmarkEnd w:id="1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0" w:name="_Toc11162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服务台运行统计表</w:t>
      </w:r>
      <w:bookmarkEnd w:id="20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55"/>
        <w:gridCol w:w="2194"/>
        <w:gridCol w:w="337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95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统计项</w:t>
            </w:r>
          </w:p>
        </w:tc>
        <w:tc>
          <w:tcPr>
            <w:tcW w:w="219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数量</w:t>
            </w:r>
          </w:p>
        </w:tc>
        <w:tc>
          <w:tcPr>
            <w:tcW w:w="337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9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受理事件总数</w:t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32件</w:t>
            </w:r>
          </w:p>
        </w:tc>
        <w:tc>
          <w:tcPr>
            <w:tcW w:w="33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全部为一般事件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9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事件解决率</w:t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33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全部按时解决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9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平均响应时间</w:t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8分钟</w:t>
            </w:r>
          </w:p>
        </w:tc>
        <w:tc>
          <w:tcPr>
            <w:tcW w:w="33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优于目标值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9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平均解决时间</w:t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35分钟</w:t>
            </w:r>
          </w:p>
        </w:tc>
        <w:tc>
          <w:tcPr>
            <w:tcW w:w="33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优于目标值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9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客户回访率</w:t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337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全部完成回访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9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客户满意度</w:t>
            </w:r>
          </w:p>
        </w:tc>
        <w:tc>
          <w:tcPr>
            <w:tcW w:w="21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92分</w:t>
            </w:r>
          </w:p>
        </w:tc>
        <w:tc>
          <w:tcPr>
            <w:tcW w:w="33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righ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高于目标值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15982"/>
      <w:r>
        <w:rPr>
          <w:rFonts w:hint="default"/>
          <w:lang w:val="en-US" w:eastAsia="zh-CN"/>
        </w:rPr>
        <w:t>质量目标达成情况</w:t>
      </w:r>
      <w:bookmarkEnd w:id="21"/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32656"/>
      <w:r>
        <w:rPr>
          <w:rFonts w:hint="default"/>
          <w:lang w:val="en-US" w:eastAsia="zh-CN"/>
        </w:rPr>
        <w:t>可用性目标达成情况</w:t>
      </w:r>
      <w:bookmarkEnd w:id="2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3" w:name="_Toc24477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可用性目标达成表</w:t>
      </w:r>
      <w:bookmarkEnd w:id="23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8"/>
        <w:gridCol w:w="1762"/>
        <w:gridCol w:w="1762"/>
        <w:gridCol w:w="1516"/>
        <w:gridCol w:w="223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24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服务类型</w:t>
            </w:r>
          </w:p>
        </w:tc>
        <w:tc>
          <w:tcPr>
            <w:tcW w:w="17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可用性目标</w:t>
            </w:r>
          </w:p>
        </w:tc>
        <w:tc>
          <w:tcPr>
            <w:tcW w:w="17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实际可用性</w:t>
            </w:r>
          </w:p>
        </w:tc>
        <w:tc>
          <w:tcPr>
            <w:tcW w:w="151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是否达标</w:t>
            </w:r>
          </w:p>
        </w:tc>
        <w:tc>
          <w:tcPr>
            <w:tcW w:w="22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新能源系统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≥99.5%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  <w:tc>
          <w:tcPr>
            <w:tcW w:w="2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全年无计划外中断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服务器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≥99.5%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  <w:tc>
          <w:tcPr>
            <w:tcW w:w="2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全年无计划外中断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4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网络设备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≥99.0%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  <w:tc>
          <w:tcPr>
            <w:tcW w:w="22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全年无计划外中断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24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现场设备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≥98.0%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  <w:tc>
          <w:tcPr>
            <w:tcW w:w="22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全年无计划外中断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中断事件统计：本报告期内，计划内中断共计3次，总时长60分钟，均在客户确认的维护窗口内完成；计划外中断0次，全年无计划外服务中断。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998"/>
      <w:r>
        <w:rPr>
          <w:rFonts w:hint="default"/>
          <w:lang w:val="en-US" w:eastAsia="zh-CN"/>
        </w:rPr>
        <w:t>服务质量目标达成情况</w:t>
      </w:r>
      <w:bookmarkEnd w:id="2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5" w:name="_Toc32761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服务质量目标达成表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6"/>
        <w:gridCol w:w="1927"/>
        <w:gridCol w:w="1899"/>
        <w:gridCol w:w="1900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79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目标类型</w:t>
            </w:r>
          </w:p>
        </w:tc>
        <w:tc>
          <w:tcPr>
            <w:tcW w:w="192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目标值</w:t>
            </w:r>
          </w:p>
        </w:tc>
        <w:tc>
          <w:tcPr>
            <w:tcW w:w="189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实际达成</w:t>
            </w:r>
          </w:p>
        </w:tc>
        <w:tc>
          <w:tcPr>
            <w:tcW w:w="190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是否达标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7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系统可用性</w:t>
            </w:r>
          </w:p>
        </w:tc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≥99.5%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7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故障响应时间</w:t>
            </w:r>
          </w:p>
        </w:tc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≤2小时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8分钟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7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培训覆盖率</w:t>
            </w:r>
          </w:p>
        </w:tc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100%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79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客户满意度</w:t>
            </w:r>
          </w:p>
        </w:tc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≥9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9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6.2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分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79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重大服务中断事件</w:t>
            </w:r>
          </w:p>
        </w:tc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0次</w:t>
            </w:r>
          </w:p>
        </w:tc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✅ 达标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26" w:name="_Toc14691"/>
      <w:r>
        <w:rPr>
          <w:rFonts w:hint="default"/>
          <w:lang w:val="en-US" w:eastAsia="zh-CN"/>
        </w:rPr>
        <w:t>服务报告提交情况</w:t>
      </w:r>
      <w:bookmarkEnd w:id="2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本报告期内，按时提交各类服务报告共计2</w:t>
      </w:r>
      <w:r>
        <w:rPr>
          <w:rFonts w:hint="eastAsia"/>
          <w:lang w:val="en-US" w:eastAsia="zh-CN"/>
        </w:rPr>
        <w:t>3</w:t>
      </w:r>
      <w:bookmarkStart w:id="27" w:name="_GoBack"/>
      <w:bookmarkEnd w:id="27"/>
      <w:r>
        <w:rPr>
          <w:rFonts w:hint="default"/>
          <w:lang w:val="en-US" w:eastAsia="zh-CN"/>
        </w:rPr>
        <w:t>份，包括：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月度运维服务报告：12份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季度运维服务报告：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份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年度</w:t>
      </w:r>
      <w:r>
        <w:rPr>
          <w:rFonts w:hint="default"/>
          <w:lang w:val="en-US" w:eastAsia="zh-CN"/>
        </w:rPr>
        <w:t>满意度调查报告：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份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季度性能评估报告：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份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年度可用性报告：1份</w:t>
      </w:r>
    </w:p>
    <w:p>
      <w:pPr>
        <w:pStyle w:val="a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年度服务总结报告：1份（本报告）</w:t>
      </w:r>
    </w:p>
    <w:p>
      <w:pPr>
        <w:pStyle w:val="a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所有报告均在规定时间内提交，报告内容完整、数据准确，获得甲方认可。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8" w:name="_Toc17500"/>
      <w:r>
        <w:rPr>
          <w:rFonts w:hint="default"/>
          <w:lang w:val="en-US" w:eastAsia="zh-CN"/>
        </w:rPr>
        <w:t>存在问题与改进措施</w:t>
      </w:r>
      <w:bookmarkEnd w:id="28"/>
    </w:p>
    <w:p>
      <w:pPr>
        <w:pStyle w:val="2"/>
        <w:bidi w:val="0"/>
        <w:rPr>
          <w:rFonts w:hint="default"/>
          <w:lang w:val="en-US" w:eastAsia="zh-CN"/>
        </w:rPr>
      </w:pPr>
      <w:bookmarkStart w:id="29" w:name="_Toc2130"/>
      <w:r>
        <w:rPr>
          <w:rFonts w:hint="default"/>
          <w:lang w:val="en-US" w:eastAsia="zh-CN"/>
        </w:rPr>
        <w:t>存在的主要问题</w:t>
      </w:r>
      <w:bookmarkEnd w:id="29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问题一：现场设备老化问题。部分场站的现场设备（工作站、数据采集器）使用年限较长，故障率有所上升。本年度共发生现场设备故障2次，虽然通过备件及时更换解决了问题，但设备老化趋势值得关注。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问题二：用户操作熟练度差异。部分操作人员对系统的熟练程度存在差异，个别用户偶尔出现操作失误，影响业务处理效率。虽然已提供操作手册和现场指导，但仍有提升空间。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问题三：网络稳定性偶有波动。本年度发生网络波动2次，均通过重启设备解决，未造成服务中断，但网络稳定性需持续关注。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0" w:name="_Toc6208"/>
      <w:r>
        <w:rPr>
          <w:rFonts w:hint="default"/>
          <w:lang w:val="en-US" w:eastAsia="zh-CN"/>
        </w:rPr>
        <w:t>改进措施</w:t>
      </w:r>
      <w:bookmarkEnd w:id="3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1" w:name="_Toc13319"/>
      <w:r>
        <w:rPr>
          <w:rFonts w:hint="eastAsia"/>
          <w:lang w:val="en-US" w:eastAsia="zh-CN"/>
        </w:rPr>
        <w:t xml:space="preserve"> 改进措施</w:t>
      </w:r>
      <w:r>
        <w:rPr>
          <w:rFonts w:hint="default"/>
          <w:lang w:val="en-US" w:eastAsia="zh-CN"/>
        </w:rPr>
        <w:t>表</w:t>
      </w:r>
      <w:bookmarkEnd w:id="3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8"/>
        <w:gridCol w:w="1378"/>
        <w:gridCol w:w="3780"/>
        <w:gridCol w:w="1220"/>
        <w:gridCol w:w="146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67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37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问题</w:t>
            </w:r>
          </w:p>
        </w:tc>
        <w:tc>
          <w:tcPr>
            <w:tcW w:w="378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改进措施</w:t>
            </w:r>
          </w:p>
        </w:tc>
        <w:tc>
          <w:tcPr>
            <w:tcW w:w="122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146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计划完成时间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现场设备老化</w:t>
            </w:r>
          </w:p>
        </w:tc>
        <w:tc>
          <w:tcPr>
            <w:tcW w:w="37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评估设备更新需求，建议甲方制定设备更换计划；增加备件储备，缩短故障响应时间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硬件负责人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2026年Q1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用户操作熟练度差异</w:t>
            </w:r>
          </w:p>
        </w:tc>
        <w:tc>
          <w:tcPr>
            <w:tcW w:w="378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组织进阶操作培训，针对常见问题开展专项辅导；优化操作手册，增加常见问题解答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培训负责人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2026年Q1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67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网络稳定性波动</w:t>
            </w:r>
          </w:p>
        </w:tc>
        <w:tc>
          <w:tcPr>
            <w:tcW w:w="37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加强网络监控，建立网络性能基线；建议配置备用网络线路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硬件负责人</w:t>
            </w: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2026年Q2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32" w:name="_Toc30132"/>
      <w:r>
        <w:rPr>
          <w:rFonts w:hint="default"/>
          <w:lang w:val="en-US" w:eastAsia="zh-CN"/>
        </w:rPr>
        <w:t>下阶段工作计划</w:t>
      </w:r>
      <w:bookmarkEnd w:id="32"/>
    </w:p>
    <w:p>
      <w:pPr>
        <w:pStyle w:val="2"/>
        <w:bidi w:val="0"/>
        <w:rPr>
          <w:rFonts w:hint="default"/>
          <w:lang w:val="en-US" w:eastAsia="zh-CN"/>
        </w:rPr>
      </w:pPr>
      <w:bookmarkStart w:id="33" w:name="_Toc5005"/>
      <w:r>
        <w:rPr>
          <w:rFonts w:hint="default"/>
          <w:lang w:val="en-US" w:eastAsia="zh-CN"/>
        </w:rPr>
        <w:t>下阶段工作重点</w:t>
      </w:r>
      <w:bookmarkEnd w:id="3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持续运维保障：继续执行日常运维、巡检监控、故障处理等工作，确保系统稳定运行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设备更新支持：配合甲方评估设备更新需求，提供技术支持和方案建议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用户能力提升：组织进阶培训，提升用户操作熟练度和问题处理能力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网络优化：加强网络监控，优化网络配置，提升网络稳定性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服务改进：根据满意度调查结果，持续优化服务质量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4" w:name="_Toc15766"/>
      <w:r>
        <w:rPr>
          <w:rFonts w:hint="default"/>
          <w:lang w:val="en-US" w:eastAsia="zh-CN"/>
        </w:rPr>
        <w:t>下阶段工作安排</w:t>
      </w:r>
      <w:bookmarkEnd w:id="34"/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5" w:name="_Toc5697"/>
      <w:r>
        <w:rPr>
          <w:rFonts w:hint="eastAsia"/>
          <w:lang w:val="en-US" w:eastAsia="zh-CN"/>
        </w:rPr>
        <w:t xml:space="preserve"> 2026年度运维计划表</w:t>
      </w:r>
      <w:bookmarkEnd w:id="3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91"/>
        <w:gridCol w:w="1854"/>
        <w:gridCol w:w="1710"/>
        <w:gridCol w:w="286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09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工作内容</w:t>
            </w:r>
          </w:p>
        </w:tc>
        <w:tc>
          <w:tcPr>
            <w:tcW w:w="185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171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计划时间</w:t>
            </w:r>
          </w:p>
        </w:tc>
        <w:tc>
          <w:tcPr>
            <w:tcW w:w="28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预期成果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日常运维保障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技术负责人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持续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系统可用性≥99.5%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设备更新评估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硬件负责人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2026年Q1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《设备更新建议报告》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进阶操作培训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培训负责人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2026年Q1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培训完成，熟练度提升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9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网络优化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硬件负责人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2026年Q2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网络稳定性提升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09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季度满意度调查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项目经理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每季度末</w:t>
            </w:r>
          </w:p>
        </w:tc>
        <w:tc>
          <w:tcPr>
            <w:tcW w:w="28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《满意度调查报告》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default"/>
          <w:lang w:val="en-US" w:eastAsia="zh-CN"/>
        </w:rPr>
      </w:pPr>
      <w:bookmarkStart w:id="36" w:name="_Toc558"/>
      <w:r>
        <w:rPr>
          <w:rFonts w:hint="default"/>
          <w:lang w:val="en-US" w:eastAsia="zh-CN"/>
        </w:rPr>
        <w:t>总结</w:t>
      </w:r>
      <w:bookmarkEnd w:id="3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合同生效以来至2026年12月31日，《2026年国电电力湖南新能源系统运维项目》项目按照计划有序推进，已完成项目启动、需求确认、系统部署、系统培训、试运行五个阶段工作，系统正式投入运行并进入运维阶段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实施成果：所有里程碑节点按期完成，系统功能完整实现合同约定需求，培训覆盖率达到100%，参训人员能够独立完成业务操作，系统运行稳定。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运维成果：全年可用性达到100%，优于合同约定的99.5%目标；计划外中断0次，重大服务中断事件0次；客户满意度92分，高于90分目标；所有服务报告按时提交，数据准确完整。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存在问题：现场设备老化、用户操作熟练度差异、网络稳定性偶有波动等问题已识别并制定改进措施。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下阶段工作：将持续做好运维保障工作，推进设备更新评估、进阶培训、网络优化等改进措施，不断提升服务质量，确保系统持续稳定运行，满足甲方业务需求。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32B24BE3"/>
    <w:multiLevelType w:val="singleLevel"/>
    <w:tmpl w:val="32B24BE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semiHidden="0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3368</Words>
  <Characters>3766</Characters>
  <Application>Microsoft Office Word</Application>
  <DocSecurity>0</DocSecurity>
  <Lines>0</Lines>
  <Paragraphs>0</Paragraphs>
  <ScaleCrop>false</ScaleCrop>
  <Company/>
  <LinksUpToDate>false</LinksUpToDate>
  <CharactersWithSpaces>4042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2026-04-07T23:48:20Z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