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06776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000F33D9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DDCE5DE">
      <w:pPr>
        <w:pStyle w:val="24"/>
        <w:widowControl w:val="0"/>
        <w:spacing w:after="1872"/>
        <w:rPr>
          <w:lang w:eastAsia="zh-CN"/>
        </w:rPr>
      </w:pPr>
      <w:bookmarkStart w:id="0" w:name="_Toc21152"/>
      <w:bookmarkStart w:id="1" w:name="_Toc20834"/>
      <w:r>
        <w:rPr>
          <w:lang w:eastAsia="zh-CN"/>
        </w:rPr>
        <w:t>天津通海信息技术有限公司</w:t>
      </w:r>
      <w:bookmarkEnd w:id="0"/>
      <w:bookmarkEnd w:id="1"/>
    </w:p>
    <w:p w14:paraId="187D5985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6458"/>
      <w:r>
        <w:rPr>
          <w:rFonts w:hint="eastAsia"/>
          <w:lang w:eastAsia="zh-CN"/>
        </w:rPr>
        <w:t>天津港引航中心引航信息系统及设备维护项目-</w:t>
      </w:r>
      <w:bookmarkEnd w:id="2"/>
      <w:r>
        <w:rPr>
          <w:rFonts w:hint="eastAsia"/>
          <w:lang w:eastAsia="zh-CN"/>
        </w:rPr>
        <w:t>应急实施方案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8729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A28BD7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7F6000F0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</w:p>
        </w:tc>
      </w:tr>
      <w:tr w14:paraId="73643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7131FE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0FDC801A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bookmarkStart w:id="47" w:name="_GoBack"/>
            <w:bookmarkEnd w:id="47"/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</w:p>
        </w:tc>
      </w:tr>
      <w:tr w14:paraId="0CD29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26BEEC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3D46BF6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</w:p>
        </w:tc>
      </w:tr>
    </w:tbl>
    <w:p w14:paraId="7E9515F5">
      <w:pPr>
        <w:widowControl w:val="0"/>
      </w:pPr>
      <w:r>
        <w:br w:type="page"/>
      </w:r>
    </w:p>
    <w:p w14:paraId="460F0B66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8BFE3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D657762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ECCC035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0C426FC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F35B6EC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100B3EA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2FE528D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E2832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4E9FE84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9" w:type="dxa"/>
          </w:tcPr>
          <w:p w14:paraId="2584D967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F208386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261AEFD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36EAE45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1B31CB89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16168F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80C5AA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7854F6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B1580A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13AB80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EBD19C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FA41BE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D5620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050DC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27C240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9DD557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6725E6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D79788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6EB2E6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3C6B6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635AFE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9E2281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F0FA65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467F10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FE4254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8E7DB1C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5BD1A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C9AE5B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4BDC1B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CFB989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95FDB2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4977CA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441141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20BD0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3DD297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42AE74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527D48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EC264E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FA9C60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5F4D6A8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19B4C112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421340EC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4206ED9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79C64D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_Toc21152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AA3A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_Toc6458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天津港引航中心引航信息系统及设备维护项目-应急实施方案</w:t>
          </w:r>
          <w:r>
            <w:tab/>
          </w:r>
          <w:r>
            <w:fldChar w:fldCharType="begin"/>
          </w:r>
          <w:r>
            <w:instrText xml:space="preserve"> PAGEREF _Toc6458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2BB5B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_Toc32031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_Toc32031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BB075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_Toc24642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D75A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_Toc10389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演练原则</w:t>
          </w:r>
          <w:r>
            <w:tab/>
          </w:r>
          <w:r>
            <w:fldChar w:fldCharType="begin"/>
          </w:r>
          <w:r>
            <w:instrText xml:space="preserve"> PAGEREF _Toc10389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607F9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_Toc24540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演练概况</w:t>
          </w:r>
          <w:r>
            <w:tab/>
          </w:r>
          <w:r>
            <w:fldChar w:fldCharType="begin"/>
          </w:r>
          <w:r>
            <w:instrText xml:space="preserve"> PAGEREF _Toc24540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5903C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_Toc6389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_Toc6389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3522F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_Toc25036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应急领导小组</w:t>
          </w:r>
          <w:r>
            <w:tab/>
          </w:r>
          <w:r>
            <w:fldChar w:fldCharType="begin"/>
          </w:r>
          <w:r>
            <w:instrText xml:space="preserve"> PAGEREF _Toc25036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99AE8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_Toc14353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应急执行小组</w:t>
          </w:r>
          <w:r>
            <w:tab/>
          </w:r>
          <w:r>
            <w:fldChar w:fldCharType="begin"/>
          </w:r>
          <w:r>
            <w:instrText xml:space="preserve"> PAGEREF _Toc14353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995A0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_Toc15185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技术支持小组</w:t>
          </w:r>
          <w:r>
            <w:tab/>
          </w:r>
          <w:r>
            <w:fldChar w:fldCharType="begin"/>
          </w:r>
          <w:r>
            <w:instrText xml:space="preserve"> PAGEREF _Toc15185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45FB2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_Toc5654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后勤保障小组</w:t>
          </w:r>
          <w:r>
            <w:tab/>
          </w:r>
          <w:r>
            <w:fldChar w:fldCharType="begin"/>
          </w:r>
          <w:r>
            <w:instrText xml:space="preserve"> PAGEREF _Toc5654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046B3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演练场景与流程设计</w:t>
          </w:r>
          <w:r>
            <w:tab/>
          </w:r>
          <w:r>
            <w:fldChar w:fldCharType="begin"/>
          </w:r>
          <w:r>
            <w:instrText xml:space="preserve"> PAGEREF _Toc13350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A111E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_Toc31502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场景初始化（14:00-14:05）</w:t>
          </w:r>
          <w:r>
            <w:tab/>
          </w:r>
          <w:r>
            <w:fldChar w:fldCharType="begin"/>
          </w:r>
          <w:r>
            <w:instrText xml:space="preserve"> PAGEREF _Toc31502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B0DA7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事件发生与信息报告（14:05-14:15）</w:t>
          </w:r>
          <w:r>
            <w:tab/>
          </w:r>
          <w:r>
            <w:fldChar w:fldCharType="begin"/>
          </w:r>
          <w:r>
            <w:instrText xml:space="preserve"> PAGEREF _Toc32380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F7CC3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应急启动与先期处置（14:15-14:30）</w:t>
          </w:r>
          <w:r>
            <w:tab/>
          </w:r>
          <w:r>
            <w:fldChar w:fldCharType="begin"/>
          </w:r>
          <w:r>
            <w:instrText xml:space="preserve"> PAGEREF _Toc31084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3CDD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_Toc4065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6.3.1. </w:t>
          </w:r>
          <w:r>
            <w:t>指挥决策：</w:t>
          </w:r>
          <w:r>
            <w:tab/>
          </w:r>
          <w:r>
            <w:fldChar w:fldCharType="begin"/>
          </w:r>
          <w:r>
            <w:instrText xml:space="preserve"> PAGEREF _Toc4065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261FA6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_Toc12771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6.3.2. </w:t>
          </w:r>
          <w:r>
            <w:t>现场处置：</w:t>
          </w:r>
          <w:r>
            <w:tab/>
          </w:r>
          <w:r>
            <w:fldChar w:fldCharType="begin"/>
          </w:r>
          <w:r>
            <w:instrText xml:space="preserve"> PAGEREF _Toc12771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233E1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_Toc27177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技术研判与协同处置（14:30-15:30）</w:t>
          </w:r>
          <w:r>
            <w:tab/>
          </w:r>
          <w:r>
            <w:fldChar w:fldCharType="begin"/>
          </w:r>
          <w:r>
            <w:instrText xml:space="preserve"> PAGEREF _Toc27177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C1A03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_Toc15135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6.4.1. </w:t>
          </w:r>
          <w:r>
            <w:t>故障诊断：</w:t>
          </w:r>
          <w:r>
            <w:tab/>
          </w:r>
          <w:r>
            <w:fldChar w:fldCharType="begin"/>
          </w:r>
          <w:r>
            <w:instrText xml:space="preserve"> PAGEREF _Toc15135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79CE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_Toc7383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6.4.2. </w:t>
          </w:r>
          <w:r>
            <w:t>协同处置：</w:t>
          </w:r>
          <w:r>
            <w:tab/>
          </w:r>
          <w:r>
            <w:fldChar w:fldCharType="begin"/>
          </w:r>
          <w:r>
            <w:instrText xml:space="preserve"> PAGEREF _Toc7383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E7BBB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_Toc29718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系统恢复与演练终止（15:30-16:00）</w:t>
          </w:r>
          <w:r>
            <w:tab/>
          </w:r>
          <w:r>
            <w:fldChar w:fldCharType="begin"/>
          </w:r>
          <w:r>
            <w:instrText xml:space="preserve"> PAGEREF _Toc29718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D7BDC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_Toc19094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6.5.1. </w:t>
          </w:r>
          <w:r>
            <w:t>恢复验证：</w:t>
          </w:r>
          <w:r>
            <w:tab/>
          </w:r>
          <w:r>
            <w:fldChar w:fldCharType="begin"/>
          </w:r>
          <w:r>
            <w:instrText xml:space="preserve"> PAGEREF _Toc19094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84AF1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_Toc32265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6.6. </w:t>
          </w:r>
          <w:r>
            <w:t>总结与点评（16:00-16:30）</w:t>
          </w:r>
          <w:r>
            <w:tab/>
          </w:r>
          <w:r>
            <w:fldChar w:fldCharType="begin"/>
          </w:r>
          <w:r>
            <w:instrText xml:space="preserve"> PAGEREF _Toc32265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CDEDB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_Toc7112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_Toc7112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E811A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_Toc17266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准备工作与保障措施</w:t>
          </w:r>
          <w:r>
            <w:tab/>
          </w:r>
          <w:r>
            <w:fldChar w:fldCharType="begin"/>
          </w:r>
          <w:r>
            <w:instrText xml:space="preserve"> PAGEREF _Toc17266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AF27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_Toc3634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后续工作</w:t>
          </w:r>
          <w:r>
            <w:tab/>
          </w:r>
          <w:r>
            <w:fldChar w:fldCharType="begin"/>
          </w:r>
          <w:r>
            <w:instrText xml:space="preserve"> PAGEREF _Toc3634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4E3C9E6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46FE4DB1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50B81858">
      <w:pPr>
        <w:pStyle w:val="28"/>
        <w:bidi w:val="0"/>
      </w:pPr>
      <w:bookmarkStart w:id="4" w:name="_Toc32031"/>
      <w:bookmarkStart w:id="5" w:name="heading_1"/>
      <w:r>
        <w:t>演练目的</w:t>
      </w:r>
      <w:bookmarkEnd w:id="4"/>
      <w:bookmarkEnd w:id="5"/>
    </w:p>
    <w:p w14:paraId="5618A5B2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检验预案：验证《天津港引航中心引航信息系统及设备维护项目-应急预案》的科学性、实用性和可操作性，发现并修正其缺陷与不足。</w:t>
      </w:r>
    </w:p>
    <w:p w14:paraId="0155CEDE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磨合机制：强化本项目应急组织体系（应急领导小组、应急执行小组、技术支持小组、后勤保障小组）内部及与公司常设部门（运维部、研发部、采购部、人力部、服务台、备件库、服务知识）之间的协调联动与职责衔接，确保“平战结合”机制顺畅。</w:t>
      </w:r>
    </w:p>
    <w:p w14:paraId="1E29B0F3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锻炼队伍：提升项目全体人员，特别是各应急小组成员的应急意识、风险识别、信息报告、快速响应和协同处置能力。</w:t>
      </w:r>
    </w:p>
    <w:p w14:paraId="228DFDEA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完善准备：检查并确保应急通讯、物资、技术等保障资源的有效性，熟悉应急流程。</w:t>
      </w:r>
    </w:p>
    <w:p w14:paraId="7F8F939B">
      <w:pPr>
        <w:pStyle w:val="28"/>
        <w:bidi w:val="0"/>
      </w:pPr>
      <w:bookmarkStart w:id="6" w:name="_Toc24642"/>
      <w:bookmarkStart w:id="7" w:name="heading_2"/>
      <w:r>
        <w:t>编制依据</w:t>
      </w:r>
      <w:bookmarkEnd w:id="6"/>
      <w:bookmarkEnd w:id="7"/>
    </w:p>
    <w:p w14:paraId="316F4E4D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《天津港引航中心引航信息系统及设备维护项目-应急预案》</w:t>
      </w:r>
    </w:p>
    <w:p w14:paraId="4CB39568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《天津港引航中心引航信息系统及设备维护项目-应急演练准备会议纪要》</w:t>
      </w:r>
    </w:p>
    <w:p w14:paraId="5C39D185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《天津通海信息技术有限公司组织架构及部门职责》</w:t>
      </w:r>
    </w:p>
    <w:p w14:paraId="4CC1B481">
      <w:pPr>
        <w:pStyle w:val="28"/>
        <w:bidi w:val="0"/>
      </w:pPr>
      <w:bookmarkStart w:id="8" w:name="heading_3"/>
      <w:bookmarkStart w:id="9" w:name="_Toc10389"/>
      <w:r>
        <w:t>演练原则</w:t>
      </w:r>
      <w:bookmarkEnd w:id="8"/>
      <w:bookmarkEnd w:id="9"/>
    </w:p>
    <w:p w14:paraId="35EA9D46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结合实际、合理定位：紧密结合项目当前运维阶段的主要风险，设计贴近实战的演练场景。</w:t>
      </w:r>
    </w:p>
    <w:p w14:paraId="1E271E6B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着眼实战、讲求实效：以提高应急指挥协调能力、现场处置能力和后勤保障能力为重点，重视演练过程，追求演练效果。</w:t>
      </w:r>
    </w:p>
    <w:p w14:paraId="484C15A5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精心组织、确保安全：周密策划，制定并落实安全保障措施，确保演练参与人员、设备及环境安全。演练在测试环境进行，不影响生产系统正常运行。</w:t>
      </w:r>
    </w:p>
    <w:p w14:paraId="30393D63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统筹规划、厉行节约：统筹规划应急演练活动，充分利用现有资源，提高应急演练效益。</w:t>
      </w:r>
    </w:p>
    <w:p w14:paraId="0A4974D3">
      <w:pPr>
        <w:pStyle w:val="28"/>
        <w:bidi w:val="0"/>
      </w:pPr>
      <w:bookmarkStart w:id="10" w:name="heading_4"/>
      <w:bookmarkStart w:id="11" w:name="_Toc24540"/>
      <w:r>
        <w:t>演练概况</w:t>
      </w:r>
      <w:bookmarkEnd w:id="10"/>
      <w:bookmarkEnd w:id="11"/>
    </w:p>
    <w:p w14:paraId="25CA909C">
      <w:pPr>
        <w:pStyle w:val="29"/>
        <w:bidi w:val="0"/>
      </w:pPr>
      <w:r>
        <w:t>演练名称：引航信息系统AIS接口服务故障应急演练</w:t>
      </w:r>
    </w:p>
    <w:p w14:paraId="74E51513">
      <w:pPr>
        <w:pStyle w:val="29"/>
        <w:bidi w:val="0"/>
      </w:pPr>
      <w:r>
        <w:t>演练时间：2026年4月8日（星期三）14:00 - 16:30</w:t>
      </w:r>
    </w:p>
    <w:p w14:paraId="2F272B79">
      <w:pPr>
        <w:pStyle w:val="29"/>
        <w:bidi w:val="0"/>
      </w:pPr>
      <w:r>
        <w:t>演练地点：天津港引航中心机房+天津通海信息技术有限公司应急指挥室</w:t>
      </w:r>
    </w:p>
    <w:p w14:paraId="0DF88787">
      <w:pPr>
        <w:pStyle w:val="29"/>
        <w:bidi w:val="0"/>
      </w:pPr>
      <w:r>
        <w:t>演练形式：实战综合演练（在测试环境进行，不影响生产系统）</w:t>
      </w:r>
    </w:p>
    <w:p w14:paraId="54A55130">
      <w:pPr>
        <w:pStyle w:val="29"/>
        <w:bidi w:val="0"/>
      </w:pPr>
      <w:r>
        <w:t>演练级别：项目级（Ⅱ级响应）</w:t>
      </w:r>
    </w:p>
    <w:p w14:paraId="7A82F7B5">
      <w:pPr>
        <w:pStyle w:val="29"/>
        <w:bidi w:val="0"/>
      </w:pPr>
      <w:r>
        <w:t>模拟事件：AIS接口服务中断，导致船舶动态数据无法正常接收，影响引航调度科实时监控船舶位置</w:t>
      </w:r>
    </w:p>
    <w:p w14:paraId="42A9101D">
      <w:pPr>
        <w:pStyle w:val="28"/>
        <w:bidi w:val="0"/>
      </w:pPr>
      <w:bookmarkStart w:id="12" w:name="heading_5"/>
      <w:bookmarkStart w:id="13" w:name="_Toc6389"/>
      <w:r>
        <w:t>演练组织与职责</w:t>
      </w:r>
      <w:bookmarkEnd w:id="12"/>
      <w:bookmarkEnd w:id="13"/>
    </w:p>
    <w:p w14:paraId="6448806D">
      <w:pPr>
        <w:pStyle w:val="29"/>
        <w:bidi w:val="0"/>
      </w:pPr>
      <w:r>
        <w:t>依据《应急预案》第2章建立演练指挥体系。</w:t>
      </w:r>
    </w:p>
    <w:p w14:paraId="132DB361">
      <w:pPr>
        <w:pStyle w:val="30"/>
        <w:bidi w:val="0"/>
      </w:pPr>
      <w:bookmarkStart w:id="14" w:name="_Toc25036"/>
      <w:bookmarkStart w:id="15" w:name="heading_6"/>
      <w:r>
        <w:t>应急领导小组</w:t>
      </w:r>
      <w:bookmarkEnd w:id="14"/>
      <w:bookmarkEnd w:id="15"/>
    </w:p>
    <w:p w14:paraId="5E7F9390">
      <w:pPr>
        <w:pStyle w:val="29"/>
        <w:bidi w:val="0"/>
      </w:pPr>
      <w:r>
        <w:t>总指挥：常海霞（管理者代表），负责宣布演练启动与结束，整体指挥，决策重大模拟处置措施。</w:t>
      </w:r>
    </w:p>
    <w:p w14:paraId="5A62CDEB">
      <w:pPr>
        <w:pStyle w:val="29"/>
        <w:bidi w:val="0"/>
      </w:pPr>
      <w:r>
        <w:t>副总指挥：甲方项目经理，负责参与指挥决策，评估演练效果。</w:t>
      </w:r>
    </w:p>
    <w:p w14:paraId="762865CF">
      <w:pPr>
        <w:pStyle w:val="29"/>
        <w:bidi w:val="0"/>
      </w:pPr>
      <w:r>
        <w:t>成员：应急管理办公室经理、运维部经理、人力部经理，负责协助指挥，协调本部门资源。</w:t>
      </w:r>
    </w:p>
    <w:p w14:paraId="0EEA9A7D">
      <w:pPr>
        <w:pStyle w:val="30"/>
        <w:bidi w:val="0"/>
      </w:pPr>
      <w:bookmarkStart w:id="16" w:name="heading_7"/>
      <w:bookmarkStart w:id="17" w:name="_Toc14353"/>
      <w:r>
        <w:t>应急执行小组</w:t>
      </w:r>
      <w:bookmarkEnd w:id="16"/>
      <w:bookmarkEnd w:id="17"/>
    </w:p>
    <w:p w14:paraId="5FC5C4DC">
      <w:pPr>
        <w:pStyle w:val="29"/>
        <w:bidi w:val="0"/>
      </w:pPr>
      <w:r>
        <w:t>组长：副总经理，负责执行指挥部指令，负责现场处置协调。</w:t>
      </w:r>
    </w:p>
    <w:p w14:paraId="1C0FD35F">
      <w:pPr>
        <w:pStyle w:val="29"/>
        <w:bidi w:val="0"/>
      </w:pPr>
      <w:r>
        <w:t>现场指挥：耿宁（运维部经理），负责现场具体处置，向总指挥汇报。</w:t>
      </w:r>
    </w:p>
    <w:p w14:paraId="0D96C569">
      <w:pPr>
        <w:pStyle w:val="29"/>
        <w:bidi w:val="0"/>
      </w:pPr>
      <w:r>
        <w:t>成员：应急执行小组成员，负责实施现场警戒、保护关键设备等处置动作。</w:t>
      </w:r>
    </w:p>
    <w:p w14:paraId="0B681E1E">
      <w:pPr>
        <w:pStyle w:val="30"/>
        <w:bidi w:val="0"/>
      </w:pPr>
      <w:bookmarkStart w:id="18" w:name="heading_8"/>
      <w:bookmarkStart w:id="19" w:name="_Toc15185"/>
      <w:r>
        <w:t>技术支持小组</w:t>
      </w:r>
      <w:bookmarkEnd w:id="18"/>
      <w:bookmarkEnd w:id="19"/>
    </w:p>
    <w:p w14:paraId="7A6CA6B7">
      <w:pPr>
        <w:pStyle w:val="29"/>
        <w:bidi w:val="0"/>
      </w:pPr>
      <w:r>
        <w:t>组长：刘书峰（研发部经理），负责技术方案制定，统筹技术处置。</w:t>
      </w:r>
    </w:p>
    <w:p w14:paraId="57381EC3">
      <w:pPr>
        <w:pStyle w:val="29"/>
        <w:bidi w:val="0"/>
      </w:pPr>
      <w:r>
        <w:t>成员：软件运维工程师、研发工程师，负责故障诊断、技术方案执行、系统恢复。</w:t>
      </w:r>
    </w:p>
    <w:p w14:paraId="672CE578">
      <w:pPr>
        <w:pStyle w:val="29"/>
        <w:bidi w:val="0"/>
      </w:pPr>
      <w:r>
        <w:t>支持：备件库，负责提供应急备件支持。</w:t>
      </w:r>
    </w:p>
    <w:p w14:paraId="1FD93872">
      <w:pPr>
        <w:pStyle w:val="30"/>
        <w:bidi w:val="0"/>
      </w:pPr>
      <w:bookmarkStart w:id="20" w:name="heading_9"/>
      <w:bookmarkStart w:id="21" w:name="_Toc5654"/>
      <w:r>
        <w:t>后勤保障小组</w:t>
      </w:r>
      <w:bookmarkEnd w:id="20"/>
      <w:bookmarkEnd w:id="21"/>
    </w:p>
    <w:p w14:paraId="2B6E8C79">
      <w:pPr>
        <w:pStyle w:val="29"/>
        <w:bidi w:val="0"/>
      </w:pPr>
      <w:r>
        <w:t>组长：刘瑞（人力部经理），负责统筹后勤保障工作。</w:t>
      </w:r>
    </w:p>
    <w:p w14:paraId="04176A9E">
      <w:pPr>
        <w:pStyle w:val="29"/>
        <w:bidi w:val="0"/>
      </w:pPr>
      <w:r>
        <w:t>成员：人力部专员、采购部接口人，负责通讯保障、物资调配、信息记录。</w:t>
      </w:r>
    </w:p>
    <w:p w14:paraId="1C771259">
      <w:pPr>
        <w:pStyle w:val="29"/>
        <w:bidi w:val="0"/>
      </w:pPr>
      <w:r>
        <w:t>评估：赵维涵（质量部经理），负责全程记录演练过程，对照评估标准进行评价。</w:t>
      </w:r>
    </w:p>
    <w:p w14:paraId="39B621C0">
      <w:pPr>
        <w:pStyle w:val="29"/>
        <w:bidi w:val="0"/>
      </w:pPr>
      <w:r>
        <w:t>服务台：服务台专员，负责事件接报、记录、客户沟通模拟。</w:t>
      </w:r>
    </w:p>
    <w:p w14:paraId="2B7EDED3">
      <w:pPr>
        <w:pStyle w:val="28"/>
        <w:bidi w:val="0"/>
      </w:pPr>
      <w:bookmarkStart w:id="22" w:name="_Toc13350"/>
      <w:bookmarkStart w:id="23" w:name="heading_10"/>
      <w:r>
        <w:t>演练场景与流程设计</w:t>
      </w:r>
      <w:bookmarkEnd w:id="22"/>
      <w:bookmarkEnd w:id="23"/>
    </w:p>
    <w:p w14:paraId="1BF40CF1">
      <w:pPr>
        <w:pStyle w:val="30"/>
        <w:bidi w:val="0"/>
      </w:pPr>
      <w:bookmarkStart w:id="24" w:name="_Toc31502"/>
      <w:bookmarkStart w:id="25" w:name="heading_11"/>
      <w:r>
        <w:t>场景初始化（14:00-14:05）</w:t>
      </w:r>
      <w:bookmarkEnd w:id="24"/>
      <w:bookmarkEnd w:id="25"/>
    </w:p>
    <w:p w14:paraId="1BB1D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各小组在指定位置就位，检查通讯设备。</w:t>
      </w:r>
    </w:p>
    <w:p w14:paraId="20127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总指挥宣布演练目的、规则及安全注意事项。</w:t>
      </w:r>
    </w:p>
    <w:p w14:paraId="2B8B7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模拟场景准备完成：测试环境已搭建，AIS接口服务模拟中断。</w:t>
      </w:r>
    </w:p>
    <w:p w14:paraId="1297A655">
      <w:pPr>
        <w:pStyle w:val="30"/>
        <w:bidi w:val="0"/>
      </w:pPr>
      <w:bookmarkStart w:id="26" w:name="_Toc32380"/>
      <w:bookmarkStart w:id="27" w:name="heading_12"/>
      <w:r>
        <w:t>事件发生与信息报告（14:05-14:15）</w:t>
      </w:r>
      <w:bookmarkEnd w:id="26"/>
      <w:bookmarkEnd w:id="27"/>
    </w:p>
    <w:p w14:paraId="2721F49D">
      <w:pPr>
        <w:pStyle w:val="29"/>
        <w:bidi w:val="0"/>
      </w:pPr>
      <w:r>
        <w:t>触发：测试环境模拟AIS接口服务中断。</w:t>
      </w:r>
    </w:p>
    <w:p w14:paraId="562178EE">
      <w:pPr>
        <w:pStyle w:val="29"/>
        <w:bidi w:val="0"/>
      </w:pPr>
      <w:r>
        <w:t>服务台接到引航调度科报障：船舶动态页面无数据刷新，无法查看船舶实时位置。</w:t>
      </w:r>
    </w:p>
    <w:p w14:paraId="11A27321">
      <w:pPr>
        <w:pStyle w:val="29"/>
        <w:bidi w:val="0"/>
      </w:pPr>
      <w:r>
        <w:t>报告链路：服务台专员 → 运维部经理 → 应急领导小组</w:t>
      </w:r>
    </w:p>
    <w:p w14:paraId="767878FF">
      <w:pPr>
        <w:pStyle w:val="29"/>
        <w:bidi w:val="0"/>
      </w:pPr>
      <w:r>
        <w:t>报告内容模拟：“报告总指挥，引航调度科反馈船舶动态页面无数据刷新，经初步判断为AIS接口服务异常。已通知技术支持小组介入，请指示。”</w:t>
      </w:r>
    </w:p>
    <w:p w14:paraId="2D0E2507">
      <w:pPr>
        <w:pStyle w:val="30"/>
        <w:bidi w:val="0"/>
      </w:pPr>
      <w:bookmarkStart w:id="28" w:name="heading_13"/>
      <w:bookmarkStart w:id="29" w:name="_Toc31084"/>
      <w:r>
        <w:t>应急启动与先期处置（14:15-14:30）</w:t>
      </w:r>
      <w:bookmarkEnd w:id="28"/>
      <w:bookmarkEnd w:id="29"/>
    </w:p>
    <w:p w14:paraId="05352EC9">
      <w:pPr>
        <w:pStyle w:val="31"/>
        <w:bidi w:val="0"/>
      </w:pPr>
      <w:bookmarkStart w:id="30" w:name="_Toc4065"/>
      <w:r>
        <w:t>指挥决策：</w:t>
      </w:r>
      <w:bookmarkEnd w:id="30"/>
    </w:p>
    <w:p w14:paraId="74B50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指挥接报后，立即召集应急领导小组紧急会商。考虑到AIS接口中断已影响船舶动态监控，符合Ⅱ级响应标准，总指挥宣布：“启动Ⅱ级应急响应！应急执行小组、技术支持小组、后勤保障小组，按预案立即行动！”</w:t>
      </w:r>
    </w:p>
    <w:p w14:paraId="776C5FDB">
      <w:pPr>
        <w:pStyle w:val="31"/>
        <w:bidi w:val="0"/>
      </w:pPr>
      <w:bookmarkStart w:id="31" w:name="_Toc12771"/>
      <w:r>
        <w:t>现场处置：</w:t>
      </w:r>
      <w:bookmarkEnd w:id="31"/>
    </w:p>
    <w:p w14:paraId="1CA81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应急执行小组：立即赶赴机房，保护关键设备，与值班工程师对接，了解故障现象</w:t>
      </w:r>
    </w:p>
    <w:p w14:paraId="22D8F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后勤保障小组：建立应急通讯群组，确保信息同步；准备记录表格</w:t>
      </w:r>
    </w:p>
    <w:p w14:paraId="5C87F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技术支持小组：集结人员，准备诊断工具，15分钟内抵达指定位置</w:t>
      </w:r>
    </w:p>
    <w:p w14:paraId="113058D6">
      <w:pPr>
        <w:pStyle w:val="30"/>
        <w:bidi w:val="0"/>
      </w:pPr>
      <w:bookmarkStart w:id="32" w:name="heading_14"/>
      <w:bookmarkStart w:id="33" w:name="_Toc27177"/>
      <w:r>
        <w:t>技术研判与协同处置（14:30-15:30）</w:t>
      </w:r>
      <w:bookmarkEnd w:id="32"/>
      <w:bookmarkEnd w:id="33"/>
    </w:p>
    <w:p w14:paraId="4E72F20E">
      <w:pPr>
        <w:pStyle w:val="31"/>
        <w:bidi w:val="0"/>
      </w:pPr>
      <w:bookmarkStart w:id="34" w:name="_Toc15135"/>
      <w:r>
        <w:t>故障诊断：</w:t>
      </w:r>
      <w:bookmarkEnd w:id="34"/>
    </w:p>
    <w:p w14:paraId="3A448964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软件运维工程师检查AIS接口服务状态，确认服务进程异常退出</w:t>
      </w:r>
    </w:p>
    <w:p w14:paraId="2E8B4DA4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查看系统日志，发现“内存溢出”错误</w:t>
      </w:r>
    </w:p>
    <w:p w14:paraId="1966767A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研发工程师分析日志，确认无其他硬件或系统级故障</w:t>
      </w:r>
    </w:p>
    <w:p w14:paraId="4C2E02BC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诊断结论：内存溢出导致AIS接口服务异常停止</w:t>
      </w:r>
    </w:p>
    <w:p w14:paraId="3ECD901D">
      <w:pPr>
        <w:pStyle w:val="31"/>
        <w:bidi w:val="0"/>
      </w:pPr>
      <w:bookmarkStart w:id="35" w:name="_Toc7383"/>
      <w:r>
        <w:t>协同处置：</w:t>
      </w:r>
      <w:bookmarkEnd w:id="35"/>
    </w:p>
    <w:p w14:paraId="311C9905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重启AIS接口服务，恢复数据接收</w:t>
      </w:r>
    </w:p>
    <w:p w14:paraId="5CF597E5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检查历史数据完整性，确认无数据丢失</w:t>
      </w:r>
    </w:p>
    <w:p w14:paraId="7554E54E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服务台同步向引航调度科通报处置进展</w:t>
      </w:r>
    </w:p>
    <w:p w14:paraId="1E32DF53">
      <w:pPr>
        <w:pStyle w:val="30"/>
        <w:bidi w:val="0"/>
      </w:pPr>
      <w:bookmarkStart w:id="36" w:name="heading_15"/>
      <w:bookmarkStart w:id="37" w:name="_Toc29718"/>
      <w:r>
        <w:t>系统恢复与演练终止（15:30-16:00）</w:t>
      </w:r>
      <w:bookmarkEnd w:id="36"/>
      <w:bookmarkEnd w:id="37"/>
    </w:p>
    <w:p w14:paraId="65E5D2B1">
      <w:pPr>
        <w:pStyle w:val="31"/>
        <w:bidi w:val="0"/>
      </w:pPr>
      <w:bookmarkStart w:id="38" w:name="_Toc19094"/>
      <w:r>
        <w:t>恢复验证：</w:t>
      </w:r>
      <w:bookmarkEnd w:id="38"/>
    </w:p>
    <w:p w14:paraId="7ED1B2E1">
      <w:pPr>
        <w:pStyle w:val="29"/>
        <w:bidi w:val="0"/>
      </w:pPr>
      <w:r>
        <w:t>技术支持小组组长向总指挥报告：“报告总指挥，AIS接口服务已成功恢复，数据接收正常。历史数据完整性已验证，无数据丢失。船舶动态页面已恢复正常。</w:t>
      </w:r>
    </w:p>
    <w:p w14:paraId="069473E2">
      <w:pPr>
        <w:pStyle w:val="29"/>
        <w:bidi w:val="0"/>
      </w:pPr>
      <w:r>
        <w:t>技术支持小组提交《系统恢复验证报告》。</w:t>
      </w:r>
    </w:p>
    <w:p w14:paraId="74A096B3">
      <w:pPr>
        <w:pStyle w:val="29"/>
        <w:bidi w:val="0"/>
      </w:pPr>
      <w:r>
        <w:t>总指挥宣布演练结束，转入总结评估阶段。</w:t>
      </w:r>
    </w:p>
    <w:p w14:paraId="1F3B24FB">
      <w:pPr>
        <w:pStyle w:val="30"/>
        <w:bidi w:val="0"/>
      </w:pPr>
      <w:bookmarkStart w:id="39" w:name="heading_16"/>
      <w:bookmarkStart w:id="40" w:name="_Toc32265"/>
      <w:r>
        <w:t>总结与点评（16:00-16:30）</w:t>
      </w:r>
      <w:bookmarkEnd w:id="39"/>
      <w:bookmarkEnd w:id="40"/>
    </w:p>
    <w:p w14:paraId="30262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各小组在指定地点集合。</w:t>
      </w:r>
    </w:p>
    <w:p w14:paraId="4B39F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各组长简要汇报演练体会与发现的问题。</w:t>
      </w:r>
    </w:p>
    <w:p w14:paraId="308B66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评估组提交初步观察记录。</w:t>
      </w:r>
    </w:p>
    <w:p w14:paraId="7829E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总指挥、副总指挥对演练进行总结点评。</w:t>
      </w:r>
    </w:p>
    <w:p w14:paraId="2A9E0916">
      <w:pPr>
        <w:pStyle w:val="28"/>
        <w:bidi w:val="0"/>
      </w:pPr>
      <w:bookmarkStart w:id="41" w:name="heading_17"/>
      <w:bookmarkStart w:id="42" w:name="_Toc7112"/>
      <w:r>
        <w:t>演练评估标准</w:t>
      </w:r>
      <w:bookmarkEnd w:id="41"/>
      <w:bookmarkEnd w:id="42"/>
    </w:p>
    <w:p w14:paraId="024BD429">
      <w:pPr>
        <w:pStyle w:val="29"/>
        <w:bidi w:val="0"/>
      </w:pPr>
      <w:r>
        <w:t>评估组将依据以下关键点进行评估：</w:t>
      </w:r>
    </w:p>
    <w:p w14:paraId="29CCA2AD">
      <w:pPr>
        <w:pStyle w:val="39"/>
        <w:bidi w:val="0"/>
      </w:pPr>
      <w:r>
        <w:t>信息报告：是否及时、准确、完整，流程是否符合预案（目标值：≤5分钟）</w:t>
      </w:r>
    </w:p>
    <w:p w14:paraId="5E77F51D">
      <w:pPr>
        <w:pStyle w:val="39"/>
        <w:bidi w:val="0"/>
      </w:pPr>
      <w:r>
        <w:t>应急启动：响应级别是否得当，指挥决策是否迅速（目标值：≤10分钟）</w:t>
      </w:r>
    </w:p>
    <w:p w14:paraId="03ECD9E6">
      <w:pPr>
        <w:pStyle w:val="39"/>
        <w:bidi w:val="0"/>
      </w:pPr>
      <w:r>
        <w:t>现场处置：先期处置措施是否科学、安全、有效</w:t>
      </w:r>
    </w:p>
    <w:p w14:paraId="1930CC9A">
      <w:pPr>
        <w:pStyle w:val="39"/>
        <w:bidi w:val="0"/>
      </w:pPr>
      <w:r>
        <w:t>故障定位：是否准确识别故障原因（目标值：≤20分钟）</w:t>
      </w:r>
    </w:p>
    <w:p w14:paraId="3CC82EA4">
      <w:pPr>
        <w:pStyle w:val="39"/>
        <w:bidi w:val="0"/>
      </w:pPr>
      <w:r>
        <w:t>系统恢复：系统恢复时间是否达标（目标值：≤45分钟）</w:t>
      </w:r>
    </w:p>
    <w:p w14:paraId="126F0803">
      <w:pPr>
        <w:pStyle w:val="39"/>
        <w:bidi w:val="0"/>
      </w:pPr>
      <w:r>
        <w:t>协同联动：各组之间沟通是否顺畅，职责是否清晰</w:t>
      </w:r>
    </w:p>
    <w:p w14:paraId="6644C12D">
      <w:pPr>
        <w:pStyle w:val="39"/>
        <w:bidi w:val="0"/>
      </w:pPr>
      <w:r>
        <w:t>技术能力：处置方案是否合理，备件调用流程是否熟悉</w:t>
      </w:r>
    </w:p>
    <w:p w14:paraId="0FAD8DD7">
      <w:pPr>
        <w:pStyle w:val="39"/>
        <w:bidi w:val="0"/>
      </w:pPr>
      <w:r>
        <w:t>后勤保障：通讯是否畅通，资源调配是否及时</w:t>
      </w:r>
    </w:p>
    <w:p w14:paraId="12A63ED7">
      <w:pPr>
        <w:pStyle w:val="39"/>
        <w:bidi w:val="0"/>
      </w:pPr>
      <w:r>
        <w:t>文档记录：过程记录是否完整</w:t>
      </w:r>
    </w:p>
    <w:p w14:paraId="0A0A0C7D">
      <w:pPr>
        <w:pStyle w:val="28"/>
        <w:bidi w:val="0"/>
      </w:pPr>
      <w:bookmarkStart w:id="43" w:name="_Toc17266"/>
      <w:bookmarkStart w:id="44" w:name="heading_18"/>
      <w:r>
        <w:t>准备工作与保障措施</w:t>
      </w:r>
      <w:bookmarkEnd w:id="43"/>
      <w:bookmarkEnd w:id="44"/>
    </w:p>
    <w:p w14:paraId="47235D80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搭建测试环境，模拟AIS接口服务（责任部门：研发部，完成期限：4月7日）</w:t>
      </w:r>
    </w:p>
    <w:p w14:paraId="2B229E4E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准备演练所需脚本和话术（责任部门：服务台，完成期限：4月7日）</w:t>
      </w:r>
    </w:p>
    <w:p w14:paraId="269D5D80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检查应急通讯录，确保联络畅通（责任部门：人力部，完成期限：4月7日）</w:t>
      </w:r>
    </w:p>
    <w:p w14:paraId="19B3A50A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准备演练评估表和记录模板（责任部门：质量部，完成期限：4月7日）</w:t>
      </w:r>
    </w:p>
    <w:p w14:paraId="76D28172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通知甲方参演人员，确认参与时间（责任部门：运维部，完成期限：4月7日）</w:t>
      </w:r>
    </w:p>
    <w:p w14:paraId="50BF47FD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演练方案最终版发布（责任部门：应急管理办公室，完成期限：4月6日）</w:t>
      </w:r>
    </w:p>
    <w:p w14:paraId="09A61E22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组织预演联调（责任部门：应急管理办公室，完成期限：4月7日）</w:t>
      </w:r>
    </w:p>
    <w:p w14:paraId="602BBC5F">
      <w:pPr>
        <w:pStyle w:val="28"/>
        <w:bidi w:val="0"/>
      </w:pPr>
      <w:bookmarkStart w:id="45" w:name="_Toc3634"/>
      <w:bookmarkStart w:id="46" w:name="heading_19"/>
      <w:r>
        <w:t>后续工作</w:t>
      </w:r>
      <w:bookmarkEnd w:id="45"/>
      <w:bookmarkEnd w:id="46"/>
    </w:p>
    <w:p w14:paraId="51301A2F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演练评估报告：后勤保障与评估组在演练结束后3个工作日内，完成《应急演练总结评估报告》，报管理者代表审批。</w:t>
      </w:r>
    </w:p>
    <w:p w14:paraId="7A69810F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预案修订：根据演练评估中发现的问题，由应急管理办公室负责组织对《应急预案》进行必要的修订和完善。</w:t>
      </w:r>
    </w:p>
    <w:p w14:paraId="3C0A8CF5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资料归档：本方案、演练记录、评估报告、影像资料等一并归档保存。</w:t>
      </w:r>
    </w:p>
    <w:p w14:paraId="5B2E4093">
      <w:pPr>
        <w:pStyle w:val="39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9CC9D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299BA2"/>
    <w:multiLevelType w:val="singleLevel"/>
    <w:tmpl w:val="9A299B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6BDBA88"/>
    <w:multiLevelType w:val="singleLevel"/>
    <w:tmpl w:val="A6BDBA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41A2136"/>
    <w:multiLevelType w:val="singleLevel"/>
    <w:tmpl w:val="D41A21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76272"/>
    <w:multiLevelType w:val="singleLevel"/>
    <w:tmpl w:val="2AE762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2D36352"/>
    <w:multiLevelType w:val="singleLevel"/>
    <w:tmpl w:val="32D363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700B76"/>
    <w:multiLevelType w:val="singleLevel"/>
    <w:tmpl w:val="3A700B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4168CDD"/>
    <w:multiLevelType w:val="singleLevel"/>
    <w:tmpl w:val="64168C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D66BF7"/>
    <w:rsid w:val="05370537"/>
    <w:rsid w:val="07EA0493"/>
    <w:rsid w:val="1DDC1359"/>
    <w:rsid w:val="3A7E655A"/>
    <w:rsid w:val="3A8C0F3C"/>
    <w:rsid w:val="4BF7788F"/>
    <w:rsid w:val="56D71A69"/>
    <w:rsid w:val="595931F5"/>
    <w:rsid w:val="5B890EC5"/>
    <w:rsid w:val="60244EAA"/>
    <w:rsid w:val="6CDD729B"/>
    <w:rsid w:val="73A62D23"/>
    <w:rsid w:val="7CEC53B9"/>
    <w:rsid w:val="7F4C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2949</Words>
  <Characters>3223</Characters>
  <Lines>169</Lines>
  <Paragraphs>195</Paragraphs>
  <TotalTime>0</TotalTime>
  <ScaleCrop>false</ScaleCrop>
  <LinksUpToDate>false</LinksUpToDate>
  <CharactersWithSpaces>3282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2026-06-03T13:57:54Z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