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9E741C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08</w:t>
      </w:r>
    </w:p>
    <w:p w14:paraId="0A9EC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7C9803AA">
      <w:pPr>
        <w:pStyle w:val="24"/>
        <w:bidi w:val="0"/>
      </w:pPr>
      <w:bookmarkStart w:id="0" w:name="_Toc19366"/>
      <w:r>
        <w:rPr>
          <w:rFonts w:hint="eastAsia"/>
          <w:lang w:val="en-US" w:eastAsia="zh-CN"/>
        </w:rPr>
        <w:t>天津通海信息技术有限公司</w:t>
      </w:r>
      <w:bookmarkEnd w:id="0"/>
    </w:p>
    <w:p w14:paraId="207E9F2D">
      <w:pPr>
        <w:pStyle w:val="25"/>
        <w:bidi w:val="0"/>
        <w:rPr>
          <w:rFonts w:hint="default"/>
          <w:lang w:val="en-US"/>
        </w:rPr>
      </w:pPr>
      <w:bookmarkStart w:id="1" w:name="_Toc21857"/>
      <w:r>
        <w:rPr>
          <w:rFonts w:hint="eastAsia"/>
          <w:lang w:val="en-US" w:eastAsia="zh-CN"/>
        </w:rPr>
        <w:t>人员入离职管理制度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9CFE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4D6D0B9E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刘瑞</w:t>
            </w:r>
          </w:p>
        </w:tc>
        <w:tc>
          <w:tcPr>
            <w:tcW w:w="4261" w:type="dxa"/>
          </w:tcPr>
          <w:p w14:paraId="1708AD87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1B5D9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5B197367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  <w:shd w:val="clear" w:color="auto" w:fill="auto"/>
          </w:tcPr>
          <w:p w14:paraId="2ADBFAD8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1" w:name="_GoBack"/>
            <w:bookmarkEnd w:id="21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5A167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527CD784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 w14:paraId="5F47F1AB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70B4A45D">
      <w:r>
        <w:br w:type="page"/>
      </w:r>
    </w:p>
    <w:p w14:paraId="6FA4C239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65C17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93" w:hRule="atLeast"/>
        </w:trPr>
        <w:tc>
          <w:tcPr>
            <w:tcW w:w="1555" w:type="dxa"/>
          </w:tcPr>
          <w:p w14:paraId="0F7BE416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0F10C34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F659C81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8945594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17B37310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3EEB67EA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4678B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9594059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7FEE8268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F7387A6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122ECF4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1"/>
                <w:w w:val="95"/>
                <w:kern w:val="0"/>
                <w:u w:val="none"/>
                <w:vertAlign w:val="baseline"/>
                <w:lang w:val="en-US" w:eastAsia="zh-CN"/>
              </w:rPr>
              <w:t>刘瑞</w:t>
            </w:r>
          </w:p>
        </w:tc>
        <w:tc>
          <w:tcPr>
            <w:tcW w:w="1150" w:type="dxa"/>
          </w:tcPr>
          <w:p w14:paraId="5EDC1A50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34D74C1F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 w14:paraId="45F5FF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21182B9">
            <w:pPr>
              <w:pStyle w:val="27"/>
            </w:pPr>
          </w:p>
        </w:tc>
        <w:tc>
          <w:tcPr>
            <w:tcW w:w="919" w:type="dxa"/>
          </w:tcPr>
          <w:p w14:paraId="082A2486">
            <w:pPr>
              <w:pStyle w:val="27"/>
            </w:pPr>
          </w:p>
        </w:tc>
        <w:tc>
          <w:tcPr>
            <w:tcW w:w="2289" w:type="dxa"/>
          </w:tcPr>
          <w:p w14:paraId="3758472F">
            <w:pPr>
              <w:pStyle w:val="27"/>
            </w:pPr>
          </w:p>
        </w:tc>
        <w:tc>
          <w:tcPr>
            <w:tcW w:w="1148" w:type="dxa"/>
          </w:tcPr>
          <w:p w14:paraId="1AC7D647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224A65A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08C96F2">
            <w:pPr>
              <w:pStyle w:val="27"/>
            </w:pPr>
          </w:p>
        </w:tc>
      </w:tr>
      <w:tr w14:paraId="4F0EC4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042557B">
            <w:pPr>
              <w:pStyle w:val="27"/>
            </w:pPr>
          </w:p>
        </w:tc>
        <w:tc>
          <w:tcPr>
            <w:tcW w:w="919" w:type="dxa"/>
          </w:tcPr>
          <w:p w14:paraId="6B5FF98F">
            <w:pPr>
              <w:pStyle w:val="27"/>
            </w:pPr>
          </w:p>
        </w:tc>
        <w:tc>
          <w:tcPr>
            <w:tcW w:w="2289" w:type="dxa"/>
          </w:tcPr>
          <w:p w14:paraId="12232766">
            <w:pPr>
              <w:pStyle w:val="27"/>
            </w:pPr>
          </w:p>
        </w:tc>
        <w:tc>
          <w:tcPr>
            <w:tcW w:w="1148" w:type="dxa"/>
          </w:tcPr>
          <w:p w14:paraId="34339B3F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439C8FAC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3392B5F">
            <w:pPr>
              <w:pStyle w:val="27"/>
            </w:pPr>
          </w:p>
        </w:tc>
      </w:tr>
      <w:tr w14:paraId="5ED5E5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229A559">
            <w:pPr>
              <w:pStyle w:val="27"/>
            </w:pPr>
          </w:p>
        </w:tc>
        <w:tc>
          <w:tcPr>
            <w:tcW w:w="919" w:type="dxa"/>
          </w:tcPr>
          <w:p w14:paraId="187AB1AD">
            <w:pPr>
              <w:pStyle w:val="27"/>
            </w:pPr>
          </w:p>
        </w:tc>
        <w:tc>
          <w:tcPr>
            <w:tcW w:w="2289" w:type="dxa"/>
          </w:tcPr>
          <w:p w14:paraId="4FB22447">
            <w:pPr>
              <w:pStyle w:val="27"/>
            </w:pPr>
          </w:p>
        </w:tc>
        <w:tc>
          <w:tcPr>
            <w:tcW w:w="1148" w:type="dxa"/>
          </w:tcPr>
          <w:p w14:paraId="2D5FB001">
            <w:pPr>
              <w:pStyle w:val="27"/>
            </w:pPr>
          </w:p>
        </w:tc>
        <w:tc>
          <w:tcPr>
            <w:tcW w:w="1150" w:type="dxa"/>
          </w:tcPr>
          <w:p w14:paraId="08FDEF0D">
            <w:pPr>
              <w:pStyle w:val="27"/>
            </w:pPr>
          </w:p>
        </w:tc>
        <w:tc>
          <w:tcPr>
            <w:tcW w:w="1240" w:type="dxa"/>
          </w:tcPr>
          <w:p w14:paraId="72402305">
            <w:pPr>
              <w:pStyle w:val="27"/>
            </w:pPr>
          </w:p>
        </w:tc>
      </w:tr>
      <w:tr w14:paraId="684CCC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0A39A81">
            <w:pPr>
              <w:pStyle w:val="27"/>
            </w:pPr>
          </w:p>
        </w:tc>
        <w:tc>
          <w:tcPr>
            <w:tcW w:w="919" w:type="dxa"/>
          </w:tcPr>
          <w:p w14:paraId="65813495">
            <w:pPr>
              <w:pStyle w:val="27"/>
            </w:pPr>
          </w:p>
        </w:tc>
        <w:tc>
          <w:tcPr>
            <w:tcW w:w="2289" w:type="dxa"/>
          </w:tcPr>
          <w:p w14:paraId="369848A4">
            <w:pPr>
              <w:pStyle w:val="27"/>
            </w:pPr>
          </w:p>
        </w:tc>
        <w:tc>
          <w:tcPr>
            <w:tcW w:w="1148" w:type="dxa"/>
          </w:tcPr>
          <w:p w14:paraId="7F29AEA1">
            <w:pPr>
              <w:pStyle w:val="27"/>
            </w:pPr>
          </w:p>
        </w:tc>
        <w:tc>
          <w:tcPr>
            <w:tcW w:w="1150" w:type="dxa"/>
          </w:tcPr>
          <w:p w14:paraId="0FA0F55F">
            <w:pPr>
              <w:pStyle w:val="27"/>
            </w:pPr>
          </w:p>
        </w:tc>
        <w:tc>
          <w:tcPr>
            <w:tcW w:w="1240" w:type="dxa"/>
          </w:tcPr>
          <w:p w14:paraId="3CFF65E0">
            <w:pPr>
              <w:pStyle w:val="27"/>
            </w:pPr>
          </w:p>
        </w:tc>
      </w:tr>
      <w:tr w14:paraId="069C46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ACBDDF1">
            <w:pPr>
              <w:pStyle w:val="27"/>
            </w:pPr>
          </w:p>
        </w:tc>
        <w:tc>
          <w:tcPr>
            <w:tcW w:w="919" w:type="dxa"/>
          </w:tcPr>
          <w:p w14:paraId="46F5B4E1">
            <w:pPr>
              <w:pStyle w:val="27"/>
            </w:pPr>
          </w:p>
        </w:tc>
        <w:tc>
          <w:tcPr>
            <w:tcW w:w="2289" w:type="dxa"/>
          </w:tcPr>
          <w:p w14:paraId="0194F492">
            <w:pPr>
              <w:pStyle w:val="27"/>
            </w:pPr>
          </w:p>
        </w:tc>
        <w:tc>
          <w:tcPr>
            <w:tcW w:w="1148" w:type="dxa"/>
          </w:tcPr>
          <w:p w14:paraId="182D46AF">
            <w:pPr>
              <w:pStyle w:val="27"/>
            </w:pPr>
          </w:p>
        </w:tc>
        <w:tc>
          <w:tcPr>
            <w:tcW w:w="1150" w:type="dxa"/>
          </w:tcPr>
          <w:p w14:paraId="6019549B">
            <w:pPr>
              <w:pStyle w:val="27"/>
            </w:pPr>
          </w:p>
        </w:tc>
        <w:tc>
          <w:tcPr>
            <w:tcW w:w="1240" w:type="dxa"/>
          </w:tcPr>
          <w:p w14:paraId="0EC762B8">
            <w:pPr>
              <w:pStyle w:val="27"/>
            </w:pPr>
          </w:p>
        </w:tc>
      </w:tr>
    </w:tbl>
    <w:p w14:paraId="246BE46A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9FB08FC"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88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EE0E07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_Toc19366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395C7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_Toc21857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人员入离职管理制度</w:t>
          </w:r>
          <w:r>
            <w:tab/>
          </w:r>
          <w:r>
            <w:fldChar w:fldCharType="begin"/>
          </w:r>
          <w:r>
            <w:instrText xml:space="preserve"> PAGEREF _Toc21857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FD519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_Toc28491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FFA20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E634C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岗位职责</w:t>
          </w:r>
          <w:r>
            <w:tab/>
          </w:r>
          <w:r>
            <w:fldChar w:fldCharType="begin"/>
          </w:r>
          <w:r>
            <w:instrText xml:space="preserve"> PAGEREF _Toc24521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7640E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人力部</w:t>
          </w:r>
          <w:r>
            <w:tab/>
          </w:r>
          <w:r>
            <w:fldChar w:fldCharType="begin"/>
          </w:r>
          <w:r>
            <w:instrText xml:space="preserve"> PAGEREF _Toc12829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9C1AE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其他</w:t>
          </w:r>
          <w:r>
            <w:rPr>
              <w:rFonts w:hint="default"/>
              <w:lang w:val="en-US" w:eastAsia="zh-CN"/>
            </w:rPr>
            <w:t>运维相关部门</w:t>
          </w:r>
          <w:r>
            <w:tab/>
          </w:r>
          <w:r>
            <w:fldChar w:fldCharType="begin"/>
          </w:r>
          <w:r>
            <w:instrText xml:space="preserve"> PAGEREF _Toc12267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4811C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_Toc21456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入职管理</w:t>
          </w:r>
          <w:r>
            <w:tab/>
          </w:r>
          <w:r>
            <w:fldChar w:fldCharType="begin"/>
          </w:r>
          <w:r>
            <w:instrText xml:space="preserve"> PAGEREF _Toc21456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056BF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入职准备与通知</w:t>
          </w:r>
          <w:r>
            <w:tab/>
          </w:r>
          <w:r>
            <w:fldChar w:fldCharType="begin"/>
          </w:r>
          <w:r>
            <w:instrText xml:space="preserve"> PAGEREF _Toc23844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9FC94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入职手续办理</w:t>
          </w:r>
          <w:r>
            <w:tab/>
          </w:r>
          <w:r>
            <w:fldChar w:fldCharType="begin"/>
          </w:r>
          <w:r>
            <w:instrText xml:space="preserve"> PAGEREF _Toc15179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5098E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入职引导与培训</w:t>
          </w:r>
          <w:r>
            <w:tab/>
          </w:r>
          <w:r>
            <w:fldChar w:fldCharType="begin"/>
          </w:r>
          <w:r>
            <w:instrText xml:space="preserve"> PAGEREF _Toc26337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B56B7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离职管理</w:t>
          </w:r>
          <w:r>
            <w:tab/>
          </w:r>
          <w:r>
            <w:fldChar w:fldCharType="begin"/>
          </w:r>
          <w:r>
            <w:instrText xml:space="preserve"> PAGEREF _Toc13491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FDD5D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离职类型</w:t>
          </w:r>
          <w:r>
            <w:tab/>
          </w:r>
          <w:r>
            <w:fldChar w:fldCharType="begin"/>
          </w:r>
          <w:r>
            <w:instrText xml:space="preserve"> PAGEREF _Toc12652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A5398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_Toc16608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离职申请与审批</w:t>
          </w:r>
          <w:r>
            <w:tab/>
          </w:r>
          <w:r>
            <w:fldChar w:fldCharType="begin"/>
          </w:r>
          <w:r>
            <w:instrText xml:space="preserve"> PAGEREF _Toc16608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2A256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工作交接</w:t>
          </w:r>
          <w:r>
            <w:tab/>
          </w:r>
          <w:r>
            <w:fldChar w:fldCharType="begin"/>
          </w:r>
          <w:r>
            <w:instrText xml:space="preserve"> PAGEREF _Toc6425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341F3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离职手续办理</w:t>
          </w:r>
          <w:r>
            <w:tab/>
          </w:r>
          <w:r>
            <w:fldChar w:fldCharType="begin"/>
          </w:r>
          <w:r>
            <w:instrText xml:space="preserve"> PAGEREF _Toc30310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1AA16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_Toc32645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5.5. 特殊情况处理</w:t>
          </w:r>
          <w:r>
            <w:tab/>
          </w:r>
          <w:r>
            <w:fldChar w:fldCharType="begin"/>
          </w:r>
          <w:r>
            <w:instrText xml:space="preserve"> PAGEREF _Toc32645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C679F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_Toc18496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工作交接准则</w:t>
          </w:r>
          <w:r>
            <w:tab/>
          </w:r>
          <w:r>
            <w:fldChar w:fldCharType="begin"/>
          </w:r>
          <w:r>
            <w:instrText xml:space="preserve"> PAGEREF _Toc18496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1F154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7.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_Toc11320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7D8D58"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8E63287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D9F50F7">
      <w:pPr>
        <w:pStyle w:val="28"/>
        <w:bidi w:val="0"/>
      </w:pPr>
      <w:bookmarkStart w:id="2" w:name="_Toc28491"/>
      <w:r>
        <w:t>目的</w:t>
      </w:r>
      <w:bookmarkEnd w:id="2"/>
    </w:p>
    <w:p w14:paraId="32AA01E1">
      <w:pPr>
        <w:pStyle w:val="29"/>
        <w:bidi w:val="0"/>
      </w:pPr>
      <w:r>
        <w:t>为规范公司员工入职、离职管理工作流程，明确各环节职责与要求，保障公司与员工的合法权益，确保工作平稳交接与延续，维护公司正常运营秩序，特制定本制度。</w:t>
      </w:r>
    </w:p>
    <w:p w14:paraId="3FAC29DD">
      <w:pPr>
        <w:pStyle w:val="28"/>
        <w:bidi w:val="0"/>
      </w:pPr>
      <w:bookmarkStart w:id="3" w:name="_Toc239"/>
      <w:r>
        <w:rPr>
          <w:rFonts w:hint="eastAsia"/>
          <w:lang w:val="en-US" w:eastAsia="zh-CN"/>
        </w:rPr>
        <w:t>适用</w:t>
      </w:r>
      <w:r>
        <w:t>范围</w:t>
      </w:r>
      <w:bookmarkEnd w:id="3"/>
    </w:p>
    <w:p w14:paraId="7B093C05">
      <w:pPr>
        <w:pStyle w:val="29"/>
        <w:bidi w:val="0"/>
      </w:pPr>
      <w:r>
        <w:t>入离职管理工作应遵循合法合规、程序公正、手续完备、责任清晰、平稳过渡的基本原则。</w:t>
      </w:r>
    </w:p>
    <w:p w14:paraId="782AB940">
      <w:pPr>
        <w:pStyle w:val="29"/>
        <w:bidi w:val="0"/>
        <w:rPr>
          <w:rFonts w:hint="eastAsia"/>
          <w:lang w:eastAsia="zh-CN"/>
        </w:rPr>
      </w:pPr>
      <w:r>
        <w:t>本制度适用于公司所有员工的入职、离职及相关手续办理</w:t>
      </w:r>
      <w:r>
        <w:rPr>
          <w:rFonts w:hint="eastAsia"/>
          <w:lang w:eastAsia="zh-CN"/>
        </w:rPr>
        <w:t>。</w:t>
      </w:r>
    </w:p>
    <w:p w14:paraId="36A051CB">
      <w:pPr>
        <w:pStyle w:val="28"/>
        <w:bidi w:val="0"/>
        <w:rPr>
          <w:rFonts w:hint="default"/>
          <w:lang w:val="en-US" w:eastAsia="zh-CN"/>
        </w:rPr>
      </w:pPr>
      <w:bookmarkStart w:id="4" w:name="_Toc24521"/>
      <w:bookmarkStart w:id="5" w:name="_Toc17424"/>
      <w:r>
        <w:rPr>
          <w:rFonts w:hint="default"/>
          <w:lang w:val="en-US" w:eastAsia="zh-CN"/>
        </w:rPr>
        <w:t>岗位职责</w:t>
      </w:r>
      <w:bookmarkEnd w:id="4"/>
    </w:p>
    <w:p w14:paraId="573EE872">
      <w:pPr>
        <w:pStyle w:val="30"/>
        <w:bidi w:val="0"/>
        <w:rPr>
          <w:rFonts w:hint="default"/>
          <w:lang w:val="en-US" w:eastAsia="zh-CN"/>
        </w:rPr>
      </w:pPr>
      <w:bookmarkStart w:id="6" w:name="_Toc12829"/>
      <w:r>
        <w:rPr>
          <w:rFonts w:hint="default"/>
          <w:lang w:val="en-US" w:eastAsia="zh-CN"/>
        </w:rPr>
        <w:t>人力部</w:t>
      </w:r>
      <w:bookmarkEnd w:id="6"/>
    </w:p>
    <w:p w14:paraId="361D25B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负责本制度的制定、修订与解释。</w:t>
      </w:r>
    </w:p>
    <w:p w14:paraId="1FB7AD0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负责统筹员工入职手续的办理，包括资料收集、合同签订、系统录入等。</w:t>
      </w:r>
    </w:p>
    <w:p w14:paraId="06021C2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负责统筹员工离职手续的办理，包括离职审批流程推动、离职访谈、薪资结算、关系转移等。</w:t>
      </w:r>
    </w:p>
    <w:p w14:paraId="323B87C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负责组织新员工的入职引导与公司级培训。</w:t>
      </w:r>
    </w:p>
    <w:p w14:paraId="5765D69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负责员工入离职相关档案的建立、归档与管理。</w:t>
      </w:r>
    </w:p>
    <w:p w14:paraId="0F50ED8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监督并确保入离职流程符合国家法律法规及公司政策。</w:t>
      </w:r>
    </w:p>
    <w:p w14:paraId="0DA2F7F0">
      <w:pPr>
        <w:pStyle w:val="30"/>
        <w:bidi w:val="0"/>
        <w:rPr>
          <w:rFonts w:hint="default"/>
          <w:lang w:val="en-US" w:eastAsia="zh-CN"/>
        </w:rPr>
      </w:pPr>
      <w:bookmarkStart w:id="7" w:name="_Toc12267"/>
      <w:r>
        <w:rPr>
          <w:rFonts w:hint="eastAsia"/>
          <w:lang w:val="en-US" w:eastAsia="zh-CN"/>
        </w:rPr>
        <w:t>其他</w:t>
      </w:r>
      <w:r>
        <w:rPr>
          <w:rFonts w:hint="default"/>
          <w:lang w:val="en-US" w:eastAsia="zh-CN"/>
        </w:rPr>
        <w:t>运维相关部门</w:t>
      </w:r>
      <w:bookmarkEnd w:id="7"/>
    </w:p>
    <w:p w14:paraId="4FC81EC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负责本部门新员工岗位引导、工作安排及岗位技能培训。</w:t>
      </w:r>
    </w:p>
    <w:p w14:paraId="633825F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负责提出本部门员工的离职面谈申请，并配合人力部完成离职访谈。</w:t>
      </w:r>
    </w:p>
    <w:p w14:paraId="36D835F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负责监督并确保离职员工按照要求完成工作交接。</w:t>
      </w:r>
    </w:p>
    <w:p w14:paraId="4DF6EF1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负责验收离职员工交接的工作资料、资产、账号权限等。</w:t>
      </w:r>
    </w:p>
    <w:p w14:paraId="0993B9E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及时向人力部反馈员工入职后的适应情况或离职动态。</w:t>
      </w:r>
    </w:p>
    <w:p w14:paraId="453A0F0B">
      <w:pPr>
        <w:pStyle w:val="28"/>
        <w:bidi w:val="0"/>
        <w:rPr>
          <w:rFonts w:hint="default"/>
          <w:lang w:val="en-US" w:eastAsia="zh-CN"/>
        </w:rPr>
      </w:pPr>
      <w:bookmarkStart w:id="8" w:name="_Toc21456"/>
      <w:r>
        <w:rPr>
          <w:rFonts w:hint="default"/>
          <w:lang w:val="en-US" w:eastAsia="zh-CN"/>
        </w:rPr>
        <w:t>入职管理</w:t>
      </w:r>
      <w:bookmarkEnd w:id="8"/>
    </w:p>
    <w:p w14:paraId="71522A6B">
      <w:pPr>
        <w:pStyle w:val="30"/>
        <w:bidi w:val="0"/>
        <w:rPr>
          <w:rFonts w:hint="default"/>
          <w:lang w:val="en-US" w:eastAsia="zh-CN"/>
        </w:rPr>
      </w:pPr>
      <w:bookmarkStart w:id="9" w:name="_Toc23844"/>
      <w:r>
        <w:rPr>
          <w:rFonts w:hint="default"/>
          <w:lang w:val="en-US" w:eastAsia="zh-CN"/>
        </w:rPr>
        <w:t>入职准备与通知</w:t>
      </w:r>
      <w:bookmarkEnd w:id="9"/>
    </w:p>
    <w:p w14:paraId="7FB9DDE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人力部在发出《录用通知书》时，应明确告知报到时间、地点、所需材料及注意事项。</w:t>
      </w:r>
    </w:p>
    <w:p w14:paraId="4F42D62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用人部门经理应提前为新员工准备办公座位、办公用品、设备及必要的工作账号权限申请。</w:t>
      </w:r>
    </w:p>
    <w:p w14:paraId="12A63217">
      <w:pPr>
        <w:pStyle w:val="30"/>
        <w:bidi w:val="0"/>
        <w:rPr>
          <w:rFonts w:hint="default"/>
          <w:lang w:val="en-US" w:eastAsia="zh-CN"/>
        </w:rPr>
      </w:pPr>
      <w:bookmarkStart w:id="10" w:name="_Toc15179"/>
      <w:r>
        <w:rPr>
          <w:rFonts w:hint="default"/>
          <w:lang w:val="en-US" w:eastAsia="zh-CN"/>
        </w:rPr>
        <w:t>入职手续办理</w:t>
      </w:r>
      <w:bookmarkEnd w:id="10"/>
    </w:p>
    <w:p w14:paraId="4EB06D5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新员工按约定时间至人力部报到，提交身份证、学历学位证、离职证明、体检报告等指定材料。</w:t>
      </w:r>
    </w:p>
    <w:p w14:paraId="2C6E226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人力部审核材料无误后，指导新员工签订劳动合同、保密协议等相关法律文件。</w:t>
      </w:r>
    </w:p>
    <w:p w14:paraId="07A8F6C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人力部为新员工办理门禁卡、邮箱、OA系统账号等，并介绍公司基本规章制度。</w:t>
      </w:r>
    </w:p>
    <w:p w14:paraId="562E9829">
      <w:pPr>
        <w:pStyle w:val="30"/>
        <w:bidi w:val="0"/>
        <w:rPr>
          <w:rFonts w:hint="default"/>
          <w:lang w:val="en-US" w:eastAsia="zh-CN"/>
        </w:rPr>
      </w:pPr>
      <w:bookmarkStart w:id="11" w:name="_Toc26337"/>
      <w:r>
        <w:rPr>
          <w:rFonts w:hint="default"/>
          <w:lang w:val="en-US" w:eastAsia="zh-CN"/>
        </w:rPr>
        <w:t>入职引导与培训</w:t>
      </w:r>
      <w:bookmarkEnd w:id="11"/>
    </w:p>
    <w:p w14:paraId="67478B6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人力部组织新员工参加公司级入职培训，内容包括公司文化、发展战略、规章制度、安全教育等。</w:t>
      </w:r>
    </w:p>
    <w:p w14:paraId="7F35FAC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用人部门负责人或指定引导人负责进行部门级入职引导，介绍部门职能、团队成员、岗位职责及初期工作安排。</w:t>
      </w:r>
    </w:p>
    <w:p w14:paraId="215E4F78">
      <w:pPr>
        <w:pStyle w:val="28"/>
        <w:bidi w:val="0"/>
        <w:rPr>
          <w:rFonts w:hint="default"/>
          <w:lang w:val="en-US" w:eastAsia="zh-CN"/>
        </w:rPr>
      </w:pPr>
      <w:bookmarkStart w:id="12" w:name="_Toc13491"/>
      <w:r>
        <w:rPr>
          <w:rFonts w:hint="default"/>
          <w:lang w:val="en-US" w:eastAsia="zh-CN"/>
        </w:rPr>
        <w:t>离职管理</w:t>
      </w:r>
      <w:bookmarkEnd w:id="12"/>
    </w:p>
    <w:p w14:paraId="14A86CF5">
      <w:pPr>
        <w:pStyle w:val="30"/>
        <w:bidi w:val="0"/>
        <w:rPr>
          <w:rFonts w:hint="default"/>
          <w:lang w:val="en-US" w:eastAsia="zh-CN"/>
        </w:rPr>
      </w:pPr>
      <w:bookmarkStart w:id="13" w:name="_Toc12652"/>
      <w:r>
        <w:rPr>
          <w:rFonts w:hint="default"/>
          <w:lang w:val="en-US" w:eastAsia="zh-CN"/>
        </w:rPr>
        <w:t>离职类型</w:t>
      </w:r>
      <w:bookmarkEnd w:id="13"/>
    </w:p>
    <w:p w14:paraId="0109C38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主动离职：员工因个人原因提出解除劳动合同。</w:t>
      </w:r>
    </w:p>
    <w:p w14:paraId="32D269D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协商解除：经公司与员工协商一致解除劳动合同。</w:t>
      </w:r>
    </w:p>
    <w:p w14:paraId="4F6E453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公司辞退：员工符合《劳动合同法》或公司规章制度中规定的辞退条件，由公司提出解除劳动合同。</w:t>
      </w:r>
    </w:p>
    <w:p w14:paraId="407E137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合同终止：劳动合同期满或约定的终止条件出现，不再续签。</w:t>
      </w:r>
    </w:p>
    <w:p w14:paraId="182276B4">
      <w:pPr>
        <w:pStyle w:val="30"/>
        <w:bidi w:val="0"/>
        <w:rPr>
          <w:rFonts w:hint="default"/>
          <w:lang w:val="en-US" w:eastAsia="zh-CN"/>
        </w:rPr>
      </w:pPr>
      <w:bookmarkStart w:id="14" w:name="_Toc16608"/>
      <w:r>
        <w:rPr>
          <w:rFonts w:hint="default"/>
          <w:lang w:val="en-US" w:eastAsia="zh-CN"/>
        </w:rPr>
        <w:t>离职申请与审批</w:t>
      </w:r>
      <w:bookmarkEnd w:id="14"/>
    </w:p>
    <w:p w14:paraId="6D41C48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员工主动离职，应提前三十日（试用期提前三日）提交书面《离职申请表》。</w:t>
      </w:r>
    </w:p>
    <w:p w14:paraId="3BD3B0F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《离职申请表》需依次经直属上级、部门负责人、人力部及公司领导审批。</w:t>
      </w:r>
    </w:p>
    <w:p w14:paraId="65E2DED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审批流程完成后，由人力部确定最后工作日并正式通知员工及相关部门。</w:t>
      </w:r>
    </w:p>
    <w:p w14:paraId="196E730B">
      <w:pPr>
        <w:pStyle w:val="30"/>
        <w:bidi w:val="0"/>
        <w:rPr>
          <w:rFonts w:hint="default"/>
          <w:lang w:val="en-US" w:eastAsia="zh-CN"/>
        </w:rPr>
      </w:pPr>
      <w:bookmarkStart w:id="15" w:name="_Toc6425"/>
      <w:r>
        <w:rPr>
          <w:rFonts w:hint="default"/>
          <w:lang w:val="en-US" w:eastAsia="zh-CN"/>
        </w:rPr>
        <w:t>工作交接</w:t>
      </w:r>
      <w:bookmarkEnd w:id="15"/>
    </w:p>
    <w:p w14:paraId="6DC8952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离职员工在离职前必须完成工作交接，填写《工作交接清单》。</w:t>
      </w:r>
    </w:p>
    <w:p w14:paraId="0D1040E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交接内容包括但不限于：各项工作任务进展、文件资料（纸质与电子）、公司资产、财务账目、系统账号权限、客户及供应商联系信息等。</w:t>
      </w:r>
    </w:p>
    <w:p w14:paraId="15D16A0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交接双方（移交人、接交人、监交人）须在清单上签字确认，经部门负责人审核后报人力部备案。</w:t>
      </w:r>
    </w:p>
    <w:p w14:paraId="13E08BEE">
      <w:pPr>
        <w:pStyle w:val="30"/>
        <w:bidi w:val="0"/>
        <w:rPr>
          <w:rFonts w:hint="default"/>
          <w:lang w:val="en-US" w:eastAsia="zh-CN"/>
        </w:rPr>
      </w:pPr>
      <w:bookmarkStart w:id="16" w:name="_Toc30310"/>
      <w:r>
        <w:rPr>
          <w:rFonts w:hint="default"/>
          <w:lang w:val="en-US" w:eastAsia="zh-CN"/>
        </w:rPr>
        <w:t>离职手续办理</w:t>
      </w:r>
      <w:bookmarkEnd w:id="16"/>
    </w:p>
    <w:p w14:paraId="4BB10D2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最后工作日前，离职员工凭签批完整的《工作交接清单》至人力部办理离职手续。</w:t>
      </w:r>
    </w:p>
    <w:p w14:paraId="6BBF330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手续包括：结清财务借款、归还公司资产（门禁卡、电脑、工具等）、办理社保/公积金停缴、薪资结算等。</w:t>
      </w:r>
    </w:p>
    <w:p w14:paraId="56BA9C0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全部手续办结后，人力部出具《离职证明》。</w:t>
      </w:r>
    </w:p>
    <w:p w14:paraId="2E014AFB">
      <w:pPr>
        <w:pStyle w:val="30"/>
        <w:bidi w:val="0"/>
        <w:rPr>
          <w:rFonts w:hint="default"/>
          <w:lang w:val="en-US" w:eastAsia="zh-CN"/>
        </w:rPr>
      </w:pPr>
      <w:bookmarkStart w:id="17" w:name="_Toc32645"/>
      <w:r>
        <w:rPr>
          <w:rFonts w:hint="default"/>
          <w:lang w:val="en-US" w:eastAsia="zh-CN"/>
        </w:rPr>
        <w:t>特殊情况处理</w:t>
      </w:r>
      <w:bookmarkEnd w:id="17"/>
    </w:p>
    <w:p w14:paraId="07C3C25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对于被辞退或紧急离职等特殊情况，人力部应会同相关部门立即启动快速流程，确保工作交接与资产回收及时完成，并依法办理相关手续。</w:t>
      </w:r>
    </w:p>
    <w:p w14:paraId="5CE7BE79">
      <w:pPr>
        <w:pStyle w:val="28"/>
        <w:bidi w:val="0"/>
        <w:rPr>
          <w:rFonts w:hint="default"/>
          <w:lang w:val="en-US" w:eastAsia="zh-CN"/>
        </w:rPr>
      </w:pPr>
      <w:bookmarkStart w:id="18" w:name="_Toc18496"/>
      <w:r>
        <w:rPr>
          <w:rFonts w:hint="default"/>
          <w:lang w:val="en-US" w:eastAsia="zh-CN"/>
        </w:rPr>
        <w:t>工作交接准则</w:t>
      </w:r>
      <w:bookmarkEnd w:id="18"/>
    </w:p>
    <w:p w14:paraId="4A8C459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交接工作应详尽、清晰，确保接任者可独立延续工作。</w:t>
      </w:r>
    </w:p>
    <w:p w14:paraId="0C0A581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电子资料应整理归档至公司指定服务器或共享位置。</w:t>
      </w:r>
    </w:p>
    <w:p w14:paraId="2BCBA4F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涉及公司核心信息、技术秘密或客户资源的岗位，交接过程须在部门负责人监督下进行，并重申保密义务。</w:t>
      </w:r>
    </w:p>
    <w:p w14:paraId="0EB471D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未完成正式工作交接或交接不清者，公司有权暂缓办理离职手续及相关结算。</w:t>
      </w:r>
    </w:p>
    <w:p w14:paraId="6AEEAA2D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19" w:name="_Toc11320"/>
      <w:r>
        <w:rPr>
          <w:rStyle w:val="38"/>
          <w:rFonts w:hint="eastAsia" w:eastAsia="宋体"/>
          <w:lang w:val="en-US" w:eastAsia="zh-CN"/>
        </w:rPr>
        <w:t>附则</w:t>
      </w:r>
      <w:bookmarkEnd w:id="5"/>
      <w:bookmarkEnd w:id="19"/>
    </w:p>
    <w:p w14:paraId="0DD502FB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人力部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68B3C31D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  <w:bookmarkStart w:id="20" w:name="bookmark14"/>
      <w:bookmarkEnd w:id="20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100D0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64C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1694</Words>
  <Characters>1781</Characters>
  <Lines>0</Lines>
  <Paragraphs>0</Paragraphs>
  <TotalTime>0</TotalTime>
  <ScaleCrop>false</ScaleCrop>
  <LinksUpToDate>false</LinksUpToDate>
  <CharactersWithSpaces>1855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2026-06-03T13:43:28Z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